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JOYY INC.</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30 Pasir Panjang Road #15-31A Mapletree Business City,</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700"/>
        <w:spacing w:after="0" w:line="207" w:lineRule="exact"/>
        <w:tabs>
          <w:tab w:leader="none" w:pos="65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JOYY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Xueling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Xueling 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Reports First Quarter 2024 Unaudited Financial Results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Singapore, May 29, 2024 (GLOBE NEWSWIRE) -- JOYY Inc. (NASDAQ: YY) (“JOYY” or the “Company”), a global technology company, today announced its unaudited financial results for the first quarter of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Highlights</w:t>
      </w:r>
      <w:r>
        <w:rPr>
          <w:rFonts w:ascii="Times New Roman" w:cs="Times New Roman" w:eastAsia="Times New Roman" w:hAnsi="Times New Roman"/>
          <w:sz w:val="29"/>
          <w:szCs w:val="29"/>
          <w:color w:val="auto"/>
          <w:vertAlign w:val="superscript"/>
        </w:rPr>
        <w:t>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18"/>
          <w:szCs w:val="18"/>
          <w:color w:val="auto"/>
        </w:rPr>
        <w:t xml:space="preserve"> were US$564.6 million, compared to US$583.6 million in the corresponding period of 2023.</w:t>
      </w:r>
    </w:p>
    <w:p>
      <w:pPr>
        <w:spacing w:after="0" w:line="215" w:lineRule="auto"/>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Net income attributable to controlling interest of JOYY</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was US$45.3 million, compared to US$28.0 million in the corresponding period of 2023.</w:t>
      </w:r>
    </w:p>
    <w:p>
      <w:pPr>
        <w:spacing w:after="0" w:line="1" w:lineRule="exact"/>
        <w:rPr>
          <w:sz w:val="20"/>
          <w:szCs w:val="20"/>
          <w:color w:val="auto"/>
        </w:rPr>
      </w:pPr>
    </w:p>
    <w:p>
      <w:pPr>
        <w:ind w:right="38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Non-GAAP net income attributable to controlling interest and common shareholders of JOYY</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was US$67.2 million, compared to US$49.9 million in the corresponding period of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Operational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Average mobile MAUs of Bigo Live</w:t>
      </w:r>
      <w:r>
        <w:rPr>
          <w:rFonts w:ascii="Times New Roman" w:cs="Times New Roman" w:eastAsia="Times New Roman" w:hAnsi="Times New Roman"/>
          <w:sz w:val="18"/>
          <w:szCs w:val="18"/>
          <w:color w:val="auto"/>
        </w:rPr>
        <w:t xml:space="preserve"> was 37.1 million, compared to 37.7 million in the corresponding period of 2023.</w:t>
      </w:r>
    </w:p>
    <w:p>
      <w:pPr>
        <w:spacing w:after="0" w:line="31" w:lineRule="exact"/>
        <w:rPr>
          <w:sz w:val="20"/>
          <w:szCs w:val="20"/>
          <w:color w:val="auto"/>
        </w:rPr>
      </w:pPr>
    </w:p>
    <w:p>
      <w:pPr>
        <w:ind w:right="640"/>
        <w:spacing w:after="0" w:line="250"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Average mobile MAUs of Likee</w:t>
      </w:r>
      <w:r>
        <w:rPr>
          <w:rFonts w:ascii="Times New Roman" w:cs="Times New Roman" w:eastAsia="Times New Roman" w:hAnsi="Times New Roman"/>
          <w:sz w:val="18"/>
          <w:szCs w:val="18"/>
          <w:color w:val="auto"/>
        </w:rPr>
        <w:t xml:space="preserve"> was 37.5 million, compared to 44.9 million in the corresponding period of 2023, primarily due to disciplined spending on user acquisition via advertisement.</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Average mobile MAUs of Hago</w:t>
      </w:r>
      <w:r>
        <w:rPr>
          <w:rFonts w:ascii="Times New Roman" w:cs="Times New Roman" w:eastAsia="Times New Roman" w:hAnsi="Times New Roman"/>
          <w:sz w:val="18"/>
          <w:szCs w:val="18"/>
          <w:color w:val="auto"/>
        </w:rPr>
        <w:t xml:space="preserve"> was 4.5 million, compared to 5.9 million in the corresponding period of 2023, primarily due to disciplined spending on user acquisition via advertisement.</w:t>
      </w:r>
    </w:p>
    <w:p>
      <w:pPr>
        <w:spacing w:after="0" w:line="186"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Global average mobile MAUs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was 277.3 million, compared to 272.9 million in the corresponding period of 2023.</w:t>
      </w:r>
    </w:p>
    <w:p>
      <w:pPr>
        <w:ind w:right="3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Total number of paying users of BIGO (including Bigo Live, Likee and imo)</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was 1.67 million, compared to 1.57 million in the corresponding period of 2023.</w:t>
      </w:r>
    </w:p>
    <w:p>
      <w:pPr>
        <w:ind w:right="40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Average revenue per paying user of BIGO (including Bigo Live, Likee and imo)</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was US$235.4, compared to US$244.8 in the corresponding period of 2023.</w:t>
      </w:r>
    </w:p>
    <w:p>
      <w:pPr>
        <w:spacing w:after="0" w:line="20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Mr. David Xueling Li, Chairman and Chief Executive Officer of JOYY, commented, “We are off to a strong start in 2024, executing on our strategic priorities and delivering results that exceeded our expectations. During the quarter, BIGO maintained its topline recovery momentum, achieving an 8.0% year-over-year increase in revenue, driven by a steady 6.9% year-over-year increase in paying users. In addition, as we continued to strategically expand and diversify our revenue streams, BIGO’s non-livestreaming revenues grew substantially year over year. Continued disciplined cost expenditures and efficiency improvement contributed to year-over-year increases of 61.8% and 34.8% in GAAP and non-GAAP net profits at the group level, respectively.”</w:t>
      </w:r>
    </w:p>
    <w:p>
      <w:pPr>
        <w:spacing w:after="0" w:line="1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“Backed by our robust cash flow and strong financial position, we remain committed to returning value to our shareholders. In the first quarter of 2024, we repurchased an additional US$54.5 million worth of our shares, reflecting our confidence in the company’s long-term prospects. Looking ahead, we will continue to enhance our product experience and drive operational innovations to generate a sustainable and profitable growth for our global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were US$564.6 million in the first quarter of 2024, compared to US$583.6 million in the corresponding period of 2023.</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Live streaming revenues were US$466.4 million in the first quarter of 2024, compared to US$520.4 million in the corresponding period of 2023, primarily due to our proactive adjustments to certain non-core products.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Other revenues increased by 55.2% to US$98.2 million in the first quarter of 2024 from US$63.2 million in the corresponding period of 2023, primarily due to the substantial growth of our advertisement revenues as we strategically expanded and diversified the revenue streams of BIGO.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Cost of revenues decreased by 2.6% to US$369.2 million in the first quarter of 2024 from US$379.0 million in the corresponding period of 2023. Revenue-sharing fees and content costs were US$268.4 million in the first quarter of 2024, compared to US$248.1 million in the corresponding period of 2023.</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Gross profit was US$195.4 million in the first quarter of 2024, compared to US$204.6 million in the corresponding period of 2023. Gross margin was 34.6% in the first quarter of 2024, compared to 35.1% in the corresponding period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INCOME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Operating expenses were US$195.4 million in the first quarter of 2024, compared to US$205.3 million in the corresponding period of 2023. Among the operating expenses, sales and marketing expenses decreased to US$94.6 million in the first quarter of 2024 from US$97.6 million in the corresponding period of 2023. Research and development expenses decreased to US$69.0 million in the first quarter of 2024 from US$75.8 million in the corresponding period of 2023, primarily due to decreased personnel-related expenses and share-based compensation expenses.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income was US$3.5 million in the first quarter of 2024, compared to US$2.5 million in the corresponding period of 2023. Operating income margin was 0.6% in the first quarter of 2024, compared to 0.4% in the corresponding period of 2023.</w:t>
      </w:r>
    </w:p>
    <w:p>
      <w:pPr>
        <w:spacing w:after="0" w:line="165"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8"/>
          <w:szCs w:val="18"/>
          <w:color w:val="auto"/>
        </w:rPr>
        <w:t>Non-GAAP operating income</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was US$24.8 million in the first quarter of 2024, compared to US$27.8 million in the corresponding period of 2023. Non-GAAP operating income margin</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was 4.4% in the first quarter of 2024, compared to 4.8% in the corresponding period of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Net income attributable to controlling interest of JOYY was US$45.3 million in the first quarter of 2024, compared to US$28.0 million in the corresponding period of 2023. Net income margin was 8.0% in the first quarter of 2024, compared to 4.8% in the corresponding period of 2023.</w:t>
      </w:r>
    </w:p>
    <w:p>
      <w:pPr>
        <w:spacing w:after="0" w:line="162" w:lineRule="exact"/>
        <w:rPr>
          <w:sz w:val="20"/>
          <w:szCs w:val="20"/>
          <w:color w:val="auto"/>
        </w:rPr>
      </w:pPr>
    </w:p>
    <w:p>
      <w:pPr>
        <w:jc w:val="both"/>
        <w:ind w:right="140"/>
        <w:spacing w:after="0" w:line="226" w:lineRule="auto"/>
        <w:rPr>
          <w:sz w:val="20"/>
          <w:szCs w:val="20"/>
          <w:color w:val="auto"/>
        </w:rPr>
      </w:pPr>
      <w:r>
        <w:rPr>
          <w:rFonts w:ascii="Times New Roman" w:cs="Times New Roman" w:eastAsia="Times New Roman" w:hAnsi="Times New Roman"/>
          <w:sz w:val="18"/>
          <w:szCs w:val="18"/>
          <w:color w:val="auto"/>
        </w:rPr>
        <w:t>Non-GAAP net income attributable to controlling interest and common shareholders of JOYY was US$67.2 million in the first quarter of 2024, compared to US$49.9 million in the corresponding period of 2023. Non-GAAP net income margin</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was 11.9% in the first quarter of 2024, compared to non-GAAP net income margin of 8.5% in the corresponding period of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ADS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net income per ADS</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was US$0.69 in the first quarter of 2024, compared to US$0.35 in the corresponding period of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diluted net income per ADS</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was US$1.02 in the first quarter of 2024, compared to US$0.64 in the corresponding period of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AND CASH FLOWS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cash and cash equivalents, restricted cash and cash equivalents, short-term deposits, restricted short-term deposits and short-term investments of US$3,578.4 million. For the first quarter of 2024, net cash from operating activities was US$75.0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a total of 1,186.4 million common shares outstanding, representing the equivalent of 59.3 million ADSs assuming the conversion of all common shares into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second quarter of 2024, the Company expects net revenues to be between US$538 million and US$569 million. This forecast reflects the Company’s current and preliminary views on the market, operational conditions and business strategies, which are subject to changes, particularly as to the potential impact from increasing macroeconomic uncertainties.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the Company repurchased US$54.5 million of its ADSs on the open market under its current US$530 million share repurchase program, which is effective till the end of November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at 9:00 PM U.S. Eastern Time on Tuesday, May 28, 2024 (9:00 AM Singapore/Hong Kong Time on Wednesday, May 29, 2024). Details for the conference call are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Title: JOYY Inc. First Quarter 2024 Earnings Conference Call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#10039137</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All participants may use the link provided below to complete the online registration process in advance of the conference call. Upon registration, each participant will receive a set of participant dial-in numbers, the Direct Event passcode, and a unique PIN by email.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PRE-REGISTER LINK: https://s1.c-conf.com/diamondpass/10039137-p4bm1f.html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https://ir.joyy.com.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June 5, 2024,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1-855-883-1031</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800-101-3223</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800-930-639</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1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#10039137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JOYY Inc.</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JOYY is a leading global technology company with a mission to enrich lives through technology. JOYY currently operates several social products, including Bigo Live for live streaming, Likee for short-form videos, Hago for multiplayer social networking, an instant messaging product, and others. The Company has created a highly engaging and vibrant user community for users across the globe. JOYY’s ADSs have been listed on the NASDAQ since November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press release, as well as JOYY’s strategic and operational plans, contain forward-looking statements. JOYY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third parties. Statements that are not historical facts, including statements about JOYY’s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JOYY’s goals and strategies; JOYY’s future business development, results of operations and financial condition; the expected growth of the global online communication social platform market; the expectation regarding the rate at which to gain active users, especially paying users; JOYY’s ability to monetize the user base; the developments in the sale of YY Live; fluctuations in global economic and business conditions; and assumptions underlying or related to any of the foregoing. A more detailed and full discussion of those risks and other potential risks is included in JOYY’s filings with the SEC. All information provided in this press release and in the attachments is as of the date of this press release, and JOYY does not undertake any obligation to update any forward- 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unaudited condensed consolidated financial information is prepared in conformity with accounting principles generally accepted in the United States of America (“U.S. GAAP”). JOYY uses non-GAAP operating income, non-GAAP operating (loss) margin, non-GAAP net income (loss) attributable to controlling interest of JOYY, non-GAAP net income (loss) margin attributable to controlling interest of JOYY, non-GAAP net income (loss) attributable to common shareholders of JOYY, and basic and diluted non-GAAP net income (loss) per ADS, all of which are non-GAAP financial measures adjusted from the most comparable U.S. GAAP results. Non-GAAP operating income (loss) is operating income (loss) excluding share-based compensation expenses, impairment of goodwill and investments, amortization of intangible assets from business acquisitions, and gain (loss) on disposal of subsidiaries and business. Non-GAAP operating (loss) margin is non-GAAP operating income as a percentage of net revenues. Non-GAAP net income (loss) is net income (loss) excluding share-based compensation expenses, impairment of goodwill and investments, amortization of intangible assets from business acquisitions, gain (loss) on disposal of subsidiaries and business, gain (loss) on disposal and deemed disposal of investments, gain (loss) on fair value change of investments, reconciling items on the share of equity method investments (referring to share of income (loss) from equity method investments resulting from non-recurring or non-cash items of the equity method investments), gain (loss) on extinguishment of debt and derivative, interest expenses related to the convertible bonds’ amortization to face value, and income tax effects of the above non-GAAP reconciling items. Non-GAAP net income (loss) attributable to controlling interest of JOYY is net income (loss) attributable to controlling interest of JOYY excluding share-based compensation expenses, impairment of goodwill and investments, amortization of intangible assets from business acquisitions, gain (loss) on disposal of subsidiaries and business, gain (loss) on disposal and deemed disposal of investments, gain (loss) on fair value change of investments, reconciling items on the share of equity method investments, gain (loss) on extinguishment of debt and derivative, interest expenses related to the convertible bonds’ amortization to face value, income tax effects of the above non-GAAP reconciling items and adjustments for non-GAAP reconciling items for the net (loss) income attributable to non-controlling interest shareholders. Non-GAAP net income (loss) margin is non-GAAP net income (loss) attributable to controlling interest of JOYY as a percentage of net revenues. Non-GAAP net income (loss) attributable to common shareholders of JOYY is net income (loss) attributable to common shareholders of JOYY excluding share-based compensation expenses, impairment of goodwill and investments, amortization of intangible assets from business acquisitions, gain (loss) on disposal of subsidiaries and business, gain (loss) on disposal and deemed disposal of investments, gain (loss) on fair value change of investments, reconciling items on the share of equity method investments, gain (loss) on extinguishment of debt and derivative, interest expenses related to the convertible bonds’ amortization to face value, accretion, cumulative dividend and deemed dividend to subsidiaries’ preferred shareholders, gain on repurchase of redeemable convertible preferred shares of a subsidiary and income tax effects of above non-GAAP reconciling items and adjustments for non-GAAP reconciling items for the net income (loss) attributable to non-controlling interest shareholders. After the non-GAAP adjustment, non-GAAP net income (loss) attributable to controlling interests of JOYY is equal to the non-GAAP net income (loss) attributable to common shareholders of JOYY. Basic and diluted non-GAAP net income (loss) per ADS is non-GAAP net income (loss) attributable to common shareholders of JOYY divided by weighted average number of ADS used in the calculation of basic and diluted net income per ADS. The Company believes that separate analysis and exclusion of the non-cash impact of above reconciling items adds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non-cash effect of (i) share-based compensation expenses and amortization of intangible assets from business acquisitions, gain (loss) on extinguishment of debt and derivative, interest expenses related to the convertible bonds’ amortization to face value, which have been and will continue to be significant recurring expenses in its business, (ii) impairment of goodwill and investments, gain (loss) on disposal of subsidiaries and business, gain (loss) on disposal and deemed disposal of investments, gain (loss) on fair value change of investments, reconciling items on the share of equity method investments, accretion, cumulative dividend and deemed dividend to subsidiaries’ preferred shareholders and gain on repurchase of redeemable convertible preferred shares of a subsidiary which may not be recurring in its business, and (iii) income tax expenses and non-GAAP adjustments for net income (loss) attributable to non-controlling interest shareholders, which are affected by the above non-GAAP reconciling items. However, the use of non-GAAP financial measures has material limitations as an analytical tool. One of the limitations of using non-GAAP financial measures is that they do not include all items that impact the Company’s net income (loss)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160"/>
        <w:spacing w:after="0" w:line="266"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“JOYY Inc. Unaudited Reconciliation of GAAP and Non-GAAP Results” near the end of this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Xie/Maggie 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joyy-ir@joyy.com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joyy@icrinc.com</w:t>
      </w:r>
    </w:p>
    <w:p>
      <w:pPr>
        <w:spacing w:after="0" w:line="20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On November 16, 2020, the Company entered into definitive agreements with affiliates of Baidu, Inc. (“Baidu”), subsequently amended on February 7, 2021. Pursuant to the agreements, Baidu would acquire JOYY’s video-based entertainment live streaming business in mainland China, which the Company refers to as YY Live, including the YY mobile app, the YY.com website and the YY PC app, among others, for an aggregate purchase price of approximately US$3.6 billion in cash, subject to certain adjustments. Subsequently, the sale was substantially completed as of February 8, 2021, with certain matters remaining to be completed, including necessary regulatory approvals from government authorities. As a result, YY Live’s historical results were presented in the Company’s consolidated financial statements as discontinued operations and the Company ceased consolidation of YY Live’s business since February 8, 2021. On January 1, 2024, the Company received a written notice from an affiliate of Baidu, purporting to terminate the share purchase agreement. Baidu asserted in the written notice that it has and exercised the right to terminate the referenced share purchase agreement and effectively cancel the transaction. The Company is in discussion with Baidu on the next steps following the termination of the share purchase agreement. The Company is also seeking legal advice and will consider all options at its disposal in response to Baidu’s written notice and expressly reserve all rights. From January 1, 2024 to the date of this press release, the Company has not obtained control of YY Live and has not consolidated YY Live. To the date of this press release, the latest development of the transaction has not affected the Company’s operating activities or financial results.</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financial information and non-GAAP financial information disclosed in this press release is presented on a continuing operations basis, unless otherwise specifically stated. For the avoidance of confusion, the continuing operations for the three months ended March 31, 2023, December 31, 2023 and March 31, 2024, as presented in this press release, primarily consisted of BIGO segment (primarily including Bigo Live, Likee and imo) and the All other segment, excluding YY Live.</w:t>
      </w:r>
    </w:p>
    <w:p>
      <w:pPr>
        <w:spacing w:after="0" w:line="180" w:lineRule="exact"/>
        <w:rPr>
          <w:sz w:val="20"/>
          <w:szCs w:val="20"/>
          <w:color w:val="auto"/>
        </w:rPr>
      </w:pPr>
    </w:p>
    <w:p>
      <w:pPr>
        <w:ind w:right="580"/>
        <w:spacing w:after="0" w:line="203" w:lineRule="auto"/>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Net income (loss) attributable to controlling interest of JOYY is net income (loss) less net (loss) income attributable to the non-controlling interest shareholders and the mezzanine equity classified as non-controlling interest shareholders.</w:t>
      </w:r>
    </w:p>
    <w:p>
      <w:pPr>
        <w:spacing w:after="0" w:line="20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Non-GAAP net income (loss) attributable to controlling interest of JOYY is a non-GAAP financial measure, which is defined as net income (loss) attributable to controlling interest of JOYY excluding share-based compensation expenses, impairment of goodwill and investments, amortization of intangible assets from business acquisitions, gain (loss) on disposal of subsidiaries and business, gain (loss) on disposal and deemed disposal of investments, gain (loss) on fair value change of investments, reconciling items on the share of equity method investments which refer to those similar non-GAAP reconciling items of the Company, gain (loss) on extinguishment of debt and derivative, interest expenses related to the convertible bonds amortization to face value, income tax effects of the above non-GAAP reconciling items and adjustments for non-GAAP reconciling items for net (loss) income attributable to non-controlling interest shareholders. These adjustments amounted to US$21.9 million and US$21.9 million in the first quarter of 2024 and 2023, respectively. Please refer to the section titled “Use of Non-GAAP Financial Measures” and the table captioned “JOYY Inc. Unaudited Reconciliation of GAAP and Non-GAAP Results” near the end of this press release for details.</w:t>
      </w:r>
    </w:p>
    <w:p>
      <w:pPr>
        <w:spacing w:after="0" w:line="20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Refers to average mobile monthly active users of the social entertainment platforms operated by the Company, including Bigo Live, Likee, imo and Hago. Average mobile MAU for any period is calculated by dividing (i) the sum of the Company’s mobile active users for each month of such period, by (ii) the number of months in such period.</w:t>
      </w:r>
    </w:p>
    <w:p>
      <w:pPr>
        <w:spacing w:after="0" w:line="200" w:lineRule="exact"/>
        <w:rPr>
          <w:sz w:val="20"/>
          <w:szCs w:val="20"/>
          <w:color w:val="auto"/>
        </w:rPr>
      </w:pPr>
    </w:p>
    <w:p>
      <w:pPr>
        <w:ind w:right="80"/>
        <w:spacing w:after="0" w:line="203" w:lineRule="auto"/>
        <w:rPr>
          <w:sz w:val="20"/>
          <w:szCs w:val="20"/>
          <w:color w:val="auto"/>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The number of paying users during a given period is calculated as the cumulative number of registered user accounts that have purchased virtual items or other products and services on Bigo Live, Likee or imo at least once during the relevant period.</w:t>
      </w:r>
    </w:p>
    <w:p>
      <w:pPr>
        <w:spacing w:after="0" w:line="200" w:lineRule="exact"/>
        <w:rPr>
          <w:sz w:val="20"/>
          <w:szCs w:val="20"/>
          <w:color w:val="auto"/>
        </w:rPr>
      </w:pPr>
    </w:p>
    <w:p>
      <w:pPr>
        <w:ind w:right="480"/>
        <w:spacing w:after="0" w:line="203" w:lineRule="auto"/>
        <w:rPr>
          <w:sz w:val="20"/>
          <w:szCs w:val="20"/>
          <w:color w:val="auto"/>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Average revenue per user is calculated by dividing our total revenues from live streaming on Bigo Live, Likee and imo during a given period by the number of paying users for the Company’s live streaming services on these platforms for that period.</w:t>
      </w:r>
    </w:p>
    <w:p>
      <w:pPr>
        <w:spacing w:after="0" w:line="200" w:lineRule="exact"/>
        <w:rPr>
          <w:sz w:val="20"/>
          <w:szCs w:val="20"/>
          <w:color w:val="auto"/>
        </w:rPr>
      </w:pPr>
    </w:p>
    <w:p>
      <w:pPr>
        <w:jc w:val="both"/>
        <w:ind w:right="120"/>
        <w:spacing w:after="0" w:line="222" w:lineRule="auto"/>
        <w:rPr>
          <w:sz w:val="20"/>
          <w:szCs w:val="20"/>
          <w:color w:val="auto"/>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Non-GAAP operating income (loss) is a non-GAAP financial measure, which is defined as operating income (loss) excluding share-based compensation expenses, amortization of intangible assets from business acquisitions, impairment of goodwill and investments and gain (loss) on disposal of subsidiaries and business. Please refer to the section titled “Use of Non-GAAP Financial Measures” and the table captioned “JOYY Inc. Unaudited Reconciliation of GAAP and Non-GAAP Results” near the end of this press release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line="215" w:lineRule="auto"/>
        <w:rPr>
          <w:sz w:val="20"/>
          <w:szCs w:val="20"/>
          <w:color w:val="auto"/>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Non-GAAP operating income (loss) margin is a non-GAAP financial measure, which is defined as non-GAAP operating income (loss) as a percentage of net revenues. Please refer to the section titled “Use of Non-GAAP Financial Measures” and the table captioned “JOYY Inc. Unaudited Reconciliation of GAAP and Non-GAAP Results” near the end of this press release for details.</w:t>
      </w:r>
    </w:p>
    <w:p>
      <w:pPr>
        <w:spacing w:after="0" w:line="130" w:lineRule="exact"/>
        <w:rPr>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income (loss) margin is non-GAAP net income (loss) attributable to controlling interest of JOYY as a percentage of net revenues.</w:t>
      </w:r>
    </w:p>
    <w:p>
      <w:pPr>
        <w:spacing w:after="0" w:line="198" w:lineRule="exact"/>
        <w:rPr>
          <w:sz w:val="20"/>
          <w:szCs w:val="20"/>
          <w:color w:val="auto"/>
        </w:rPr>
      </w:pPr>
    </w:p>
    <w:p>
      <w:pPr>
        <w:ind w:right="40"/>
        <w:spacing w:after="0" w:line="203" w:lineRule="auto"/>
        <w:rPr>
          <w:sz w:val="20"/>
          <w:szCs w:val="20"/>
          <w:color w:val="auto"/>
        </w:rPr>
      </w:pP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ADS refers to American Depositary Share. Each ADS represents twenty Class A common shares of the Company. Diluted net income (loss) per ADS is net income (loss) attributable to common shareholders of JOYY divided by weighted average number of diluted ADS.</w:t>
      </w:r>
    </w:p>
    <w:p>
      <w:pPr>
        <w:spacing w:after="0" w:line="200"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Non-GAAP diluted net income (loss) per ADS is a non-GAAP financial measure, which is defined as non-GAAP net income (loss) attributable to common shareholders of JOYY divided by weighted average number of ADS used in the calculation of diluted net income (loss) per ADS. Please refer to the section titled “Use of Non-GAAP Financial Measures” and the table captioned “JOYY Inc. Unaudited Reconciliation of GAAP and Non-GAAP Results” near the end of this press release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9" w:name="page10"/>
    <w:bookmarkEnd w:id="9"/>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84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1,063,956</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728,228</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319,250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374,111</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1,970,346</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2,229,229</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short-term deposits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57,243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57,243</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274,846</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189,611</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130,700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126,703</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70"/>
        </w:trPr>
        <w:tc>
          <w:tcPr>
            <w:tcW w:w="84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Prepayments and other current assets</w:t>
            </w:r>
            <w:r>
              <w:rPr>
                <w:rFonts w:ascii="Times New Roman" w:cs="Times New Roman" w:eastAsia="Times New Roman" w:hAnsi="Times New Roman"/>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255,489</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264,875</w:t>
            </w: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4,072,640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3,970,636</w:t>
            </w: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290,000</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544,542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555,825</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390,681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415,044</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316,070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313,418</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333,715</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318,314</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30,173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27,816</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2,649,281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2,649,278</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16,252</w:t>
            </w: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4,411,225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4,585,947</w:t>
            </w: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8,483,865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8,556,583</w:t>
            </w:r>
          </w:p>
        </w:tc>
      </w:tr>
      <w:tr>
        <w:trPr>
          <w:trHeight w:val="197"/>
        </w:trPr>
        <w:tc>
          <w:tcPr>
            <w:tcW w:w="84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9"/>
        </w:trPr>
        <w:tc>
          <w:tcPr>
            <w:tcW w:w="8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loan</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52,119</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77,831</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66,755</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65,692</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73,673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73,333</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7,249</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86,100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90,001</w:t>
            </w:r>
          </w:p>
        </w:tc>
      </w:tr>
      <w:tr>
        <w:trPr>
          <w:trHeight w:val="270"/>
        </w:trPr>
        <w:tc>
          <w:tcPr>
            <w:tcW w:w="84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Accrued liabilities and other current liabilities</w:t>
            </w:r>
            <w:r>
              <w:rPr>
                <w:rFonts w:ascii="Times New Roman" w:cs="Times New Roman" w:eastAsia="Times New Roman" w:hAnsi="Times New Roman"/>
                <w:sz w:val="29"/>
                <w:szCs w:val="29"/>
                <w:color w:val="auto"/>
                <w:vertAlign w:val="superscript"/>
              </w:rPr>
              <w:t>(1)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2,381,189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2,386,996</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2,658</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12,388</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11,661</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bonds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405,603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405,840</w:t>
            </w: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3,086,407</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3,121,261</w:t>
            </w: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18,422</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16,829</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13,567</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53,955</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50,264</w:t>
            </w:r>
          </w:p>
        </w:tc>
      </w:tr>
      <w:tr>
        <w:trPr>
          <w:trHeight w:val="209"/>
        </w:trPr>
        <w:tc>
          <w:tcPr>
            <w:tcW w:w="8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85,309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80,660</w:t>
            </w:r>
          </w:p>
        </w:tc>
      </w:tr>
      <w:tr>
        <w:trPr>
          <w:trHeight w:val="209"/>
        </w:trPr>
        <w:tc>
          <w:tcPr>
            <w:tcW w:w="8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3,171,716</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3,201,921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CONDENSED CONSOLIDATED BALANCE SHEETS (CONTINUED)</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340" w:right="340" w:hanging="161"/>
        <w:spacing w:after="0" w:line="255" w:lineRule="auto"/>
        <w:rPr>
          <w:sz w:val="20"/>
          <w:szCs w:val="20"/>
          <w:color w:val="auto"/>
        </w:rPr>
      </w:pPr>
      <w:r>
        <w:rPr>
          <w:rFonts w:ascii="Times New Roman" w:cs="Times New Roman" w:eastAsia="Times New Roman" w:hAnsi="Times New Roman"/>
          <w:sz w:val="18"/>
          <w:szCs w:val="18"/>
          <w:color w:val="auto"/>
        </w:rPr>
        <w:t>Class A common shares (US$0.00001 par value; 10,000,000,000 and 10,000,000,000 shares authorized, 1,317,840,464 shares issued and 890,843,639 shares outstanding as of December 31, 2023; 1,317,840,464 shares issued and 859,936,179 shares outstanding as of March 31, 2024, respectively)</w:t>
      </w:r>
    </w:p>
    <w:p>
      <w:pPr>
        <w:spacing w:after="0" w:line="2" w:lineRule="exact"/>
        <w:rPr>
          <w:sz w:val="20"/>
          <w:szCs w:val="20"/>
          <w:color w:val="auto"/>
        </w:rPr>
      </w:pPr>
    </w:p>
    <w:p>
      <w:pPr>
        <w:ind w:left="340" w:right="260" w:hanging="161"/>
        <w:spacing w:after="0" w:line="255" w:lineRule="auto"/>
        <w:rPr>
          <w:sz w:val="20"/>
          <w:szCs w:val="20"/>
          <w:color w:val="auto"/>
        </w:rPr>
      </w:pPr>
      <w:r>
        <w:rPr>
          <w:rFonts w:ascii="Times New Roman" w:cs="Times New Roman" w:eastAsia="Times New Roman" w:hAnsi="Times New Roman"/>
          <w:sz w:val="18"/>
          <w:szCs w:val="18"/>
          <w:color w:val="auto"/>
        </w:rPr>
        <w:t>Class B common shares (US$0.00001 par value; 1,000,000,000 and 1,000,000,000 shares authorized, 326,509,555 and 326,509,555 shares issued and outstanding as of December 31, 2023 and March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420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ind w:left="340" w:hanging="161"/>
        <w:spacing w:after="0" w:line="258" w:lineRule="auto"/>
        <w:rPr>
          <w:sz w:val="20"/>
          <w:szCs w:val="20"/>
          <w:color w:val="auto"/>
        </w:rPr>
      </w:pPr>
      <w:r>
        <w:rPr>
          <w:rFonts w:ascii="Times New Roman" w:cs="Times New Roman" w:eastAsia="Times New Roman" w:hAnsi="Times New Roman"/>
          <w:sz w:val="18"/>
          <w:szCs w:val="18"/>
          <w:color w:val="auto"/>
        </w:rPr>
        <w:t>Treasury Shares (US$0.00001 par value; 426,996,825 and 457,904,285 shares held as of December 31, 2023 and March 31, 2024, respectively)</w:t>
      </w:r>
    </w:p>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Statutory reserves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JOYY Inc.’s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r>
      <w:tr>
        <w:trPr>
          <w:trHeight w:val="205"/>
        </w:trPr>
        <w:tc>
          <w:tcPr>
            <w:tcW w:w="1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7"/>
                <w:szCs w:val="17"/>
                <w:color w:val="auto"/>
              </w:rPr>
            </w:pPr>
          </w:p>
        </w:tc>
        <w:tc>
          <w:tcPr>
            <w:tcW w:w="1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7"/>
                <w:szCs w:val="17"/>
                <w:color w:val="auto"/>
              </w:rPr>
            </w:pPr>
          </w:p>
        </w:tc>
      </w:tr>
      <w:tr>
        <w:trPr>
          <w:trHeight w:val="234"/>
        </w:trPr>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22,133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60"/>
        <w:spacing w:after="0"/>
        <w:tabs>
          <w:tab w:leader="none" w:pos="258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55" w:lineRule="exact"/>
        <w:rPr>
          <w:sz w:val="20"/>
          <w:szCs w:val="20"/>
          <w:color w:val="auto"/>
        </w:rPr>
      </w:pPr>
    </w:p>
    <w:p>
      <w:pPr>
        <w:ind w:left="1160"/>
        <w:spacing w:after="0"/>
        <w:tabs>
          <w:tab w:leader="none" w:pos="258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3</w:t>
      </w:r>
    </w:p>
    <w:p>
      <w:pPr>
        <w:spacing w:after="0" w:line="225" w:lineRule="exact"/>
        <w:rPr>
          <w:sz w:val="20"/>
          <w:szCs w:val="20"/>
          <w:color w:val="auto"/>
        </w:rPr>
      </w:pPr>
    </w:p>
    <w:p>
      <w:pPr>
        <w:ind w:left="600"/>
        <w:spacing w:after="0"/>
        <w:tabs>
          <w:tab w:leader="none" w:pos="2020" w:val="left"/>
        </w:tabs>
        <w:rPr>
          <w:sz w:val="20"/>
          <w:szCs w:val="20"/>
          <w:color w:val="auto"/>
        </w:rPr>
      </w:pPr>
      <w:r>
        <w:rPr>
          <w:rFonts w:ascii="Times New Roman" w:cs="Times New Roman" w:eastAsia="Times New Roman" w:hAnsi="Times New Roman"/>
          <w:sz w:val="18"/>
          <w:szCs w:val="18"/>
          <w:color w:val="auto"/>
        </w:rPr>
        <w:t>(913,939)</w:t>
      </w:r>
      <w:r>
        <w:rPr>
          <w:sz w:val="20"/>
          <w:szCs w:val="20"/>
          <w:color w:val="auto"/>
        </w:rPr>
        <w:tab/>
      </w:r>
      <w:r>
        <w:rPr>
          <w:rFonts w:ascii="Times New Roman" w:cs="Times New Roman" w:eastAsia="Times New Roman" w:hAnsi="Times New Roman"/>
          <w:sz w:val="18"/>
          <w:szCs w:val="18"/>
          <w:color w:val="auto"/>
        </w:rPr>
        <w:t>(968,433)</w:t>
      </w:r>
    </w:p>
    <w:p>
      <w:pPr>
        <w:spacing w:after="0" w:line="41"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8"/>
          <w:szCs w:val="18"/>
          <w:color w:val="auto"/>
        </w:rPr>
        <w:t>3,282,754</w:t>
      </w:r>
      <w:r>
        <w:rPr>
          <w:sz w:val="20"/>
          <w:szCs w:val="20"/>
          <w:color w:val="auto"/>
        </w:rPr>
        <w:tab/>
      </w:r>
      <w:r>
        <w:rPr>
          <w:rFonts w:ascii="Times New Roman" w:cs="Times New Roman" w:eastAsia="Times New Roman" w:hAnsi="Times New Roman"/>
          <w:sz w:val="18"/>
          <w:szCs w:val="18"/>
          <w:color w:val="auto"/>
        </w:rPr>
        <w:t>3,330,791</w:t>
      </w:r>
    </w:p>
    <w:p>
      <w:pPr>
        <w:spacing w:after="0" w:line="23" w:lineRule="exact"/>
        <w:rPr>
          <w:sz w:val="20"/>
          <w:szCs w:val="20"/>
          <w:color w:val="auto"/>
        </w:rPr>
      </w:pPr>
    </w:p>
    <w:p>
      <w:pPr>
        <w:ind w:left="760"/>
        <w:spacing w:after="0"/>
        <w:tabs>
          <w:tab w:leader="none" w:pos="2180" w:val="left"/>
        </w:tabs>
        <w:rPr>
          <w:sz w:val="20"/>
          <w:szCs w:val="20"/>
          <w:color w:val="auto"/>
        </w:rPr>
      </w:pPr>
      <w:r>
        <w:rPr>
          <w:rFonts w:ascii="Times New Roman" w:cs="Times New Roman" w:eastAsia="Times New Roman" w:hAnsi="Times New Roman"/>
          <w:sz w:val="18"/>
          <w:szCs w:val="18"/>
          <w:color w:val="auto"/>
        </w:rPr>
        <w:t>37,709</w:t>
      </w:r>
      <w:r>
        <w:rPr>
          <w:sz w:val="20"/>
          <w:szCs w:val="20"/>
          <w:color w:val="auto"/>
        </w:rPr>
        <w:tab/>
      </w:r>
      <w:r>
        <w:rPr>
          <w:rFonts w:ascii="Times New Roman" w:cs="Times New Roman" w:eastAsia="Times New Roman" w:hAnsi="Times New Roman"/>
          <w:sz w:val="18"/>
          <w:szCs w:val="18"/>
          <w:color w:val="auto"/>
        </w:rPr>
        <w:t>37,709</w:t>
      </w:r>
    </w:p>
    <w:p>
      <w:pPr>
        <w:spacing w:after="0" w:line="23"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8"/>
          <w:szCs w:val="18"/>
          <w:color w:val="auto"/>
        </w:rPr>
        <w:t>2,947,160</w:t>
      </w:r>
      <w:r>
        <w:rPr>
          <w:sz w:val="20"/>
          <w:szCs w:val="20"/>
          <w:color w:val="auto"/>
        </w:rPr>
        <w:tab/>
      </w:r>
      <w:r>
        <w:rPr>
          <w:rFonts w:ascii="Times New Roman" w:cs="Times New Roman" w:eastAsia="Times New Roman" w:hAnsi="Times New Roman"/>
          <w:sz w:val="18"/>
          <w:szCs w:val="18"/>
          <w:color w:val="auto"/>
        </w:rPr>
        <w:t>2,992,098</w:t>
      </w:r>
    </w:p>
    <w:p>
      <w:pPr>
        <w:spacing w:after="0" w:line="23" w:lineRule="exact"/>
        <w:rPr>
          <w:sz w:val="20"/>
          <w:szCs w:val="20"/>
          <w:color w:val="auto"/>
        </w:rPr>
      </w:pPr>
    </w:p>
    <w:p>
      <w:pPr>
        <w:ind w:left="600"/>
        <w:spacing w:after="0"/>
        <w:tabs>
          <w:tab w:leader="none" w:pos="2020" w:val="left"/>
        </w:tabs>
        <w:rPr>
          <w:sz w:val="20"/>
          <w:szCs w:val="20"/>
          <w:color w:val="auto"/>
        </w:rPr>
      </w:pPr>
      <w:r>
        <w:rPr>
          <w:rFonts w:ascii="Times New Roman" w:cs="Times New Roman" w:eastAsia="Times New Roman" w:hAnsi="Times New Roman"/>
          <w:sz w:val="18"/>
          <w:szCs w:val="18"/>
          <w:color w:val="auto"/>
        </w:rPr>
        <w:t>(197,010)</w:t>
      </w:r>
      <w:r>
        <w:rPr>
          <w:sz w:val="20"/>
          <w:szCs w:val="20"/>
          <w:color w:val="auto"/>
        </w:rPr>
        <w:tab/>
      </w:r>
      <w:r>
        <w:rPr>
          <w:rFonts w:ascii="Times New Roman" w:cs="Times New Roman" w:eastAsia="Times New Roman" w:hAnsi="Times New Roman"/>
          <w:sz w:val="18"/>
          <w:szCs w:val="18"/>
          <w:color w:val="auto"/>
        </w:rPr>
        <w:t>(196,756)</w:t>
      </w:r>
    </w:p>
    <w:p>
      <w:pPr>
        <w:spacing w:after="0" w:line="247"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8"/>
          <w:szCs w:val="18"/>
          <w:color w:val="auto"/>
        </w:rPr>
        <w:t>5,156,686</w:t>
      </w:r>
      <w:r>
        <w:rPr>
          <w:sz w:val="20"/>
          <w:szCs w:val="20"/>
          <w:color w:val="auto"/>
        </w:rPr>
        <w:tab/>
      </w:r>
      <w:r>
        <w:rPr>
          <w:rFonts w:ascii="Times New Roman" w:cs="Times New Roman" w:eastAsia="Times New Roman" w:hAnsi="Times New Roman"/>
          <w:sz w:val="18"/>
          <w:szCs w:val="18"/>
          <w:color w:val="auto"/>
        </w:rPr>
        <w:t>5,195,421</w:t>
      </w:r>
    </w:p>
    <w:p>
      <w:pPr>
        <w:spacing w:after="0" w:line="252"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133,330</w:t>
      </w:r>
      <w:r>
        <w:rPr>
          <w:sz w:val="20"/>
          <w:szCs w:val="20"/>
          <w:color w:val="auto"/>
        </w:rPr>
        <w:tab/>
      </w:r>
      <w:r>
        <w:rPr>
          <w:rFonts w:ascii="Times New Roman" w:cs="Times New Roman" w:eastAsia="Times New Roman" w:hAnsi="Times New Roman"/>
          <w:sz w:val="18"/>
          <w:szCs w:val="18"/>
          <w:color w:val="auto"/>
        </w:rPr>
        <w:t>136,708</w:t>
      </w:r>
    </w:p>
    <w:p>
      <w:pPr>
        <w:spacing w:after="0" w:line="252"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8"/>
          <w:szCs w:val="18"/>
          <w:color w:val="auto"/>
        </w:rPr>
        <w:t>5,290,016</w:t>
      </w:r>
      <w:r>
        <w:rPr>
          <w:sz w:val="20"/>
          <w:szCs w:val="20"/>
          <w:color w:val="auto"/>
        </w:rPr>
        <w:tab/>
      </w:r>
      <w:r>
        <w:rPr>
          <w:rFonts w:ascii="Times New Roman" w:cs="Times New Roman" w:eastAsia="Times New Roman" w:hAnsi="Times New Roman"/>
          <w:sz w:val="18"/>
          <w:szCs w:val="18"/>
          <w:color w:val="auto"/>
        </w:rPr>
        <w:t>5,332,129</w:t>
      </w:r>
    </w:p>
    <w:p>
      <w:pPr>
        <w:spacing w:after="0" w:line="266"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8"/>
          <w:szCs w:val="18"/>
          <w:color w:val="auto"/>
        </w:rPr>
        <w:t>8,483,865</w:t>
      </w:r>
      <w:r>
        <w:rPr>
          <w:sz w:val="20"/>
          <w:szCs w:val="20"/>
          <w:color w:val="auto"/>
        </w:rPr>
        <w:tab/>
      </w:r>
      <w:r>
        <w:rPr>
          <w:rFonts w:ascii="Times New Roman" w:cs="Times New Roman" w:eastAsia="Times New Roman" w:hAnsi="Times New Roman"/>
          <w:sz w:val="18"/>
          <w:szCs w:val="18"/>
          <w:color w:val="auto"/>
        </w:rPr>
        <w:t>8,556,583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70561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0561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140"/>
            <w:col w:w="2760"/>
          </w:cols>
          <w:pgMar w:left="320" w:top="900" w:right="379" w:bottom="1440" w:gutter="0" w:footer="0" w:header="0"/>
          <w:type w:val="continuous"/>
        </w:sectPr>
      </w:pPr>
    </w:p>
    <w:p>
      <w:pPr>
        <w:spacing w:after="0" w:line="93" w:lineRule="exact"/>
        <w:rPr>
          <w:sz w:val="20"/>
          <w:szCs w:val="20"/>
          <w:color w:val="auto"/>
        </w:rPr>
      </w:pPr>
    </w:p>
    <w:p>
      <w:pPr>
        <w:ind w:right="140" w:firstLine="8"/>
        <w:spacing w:after="0" w:line="266"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JOYY has ceased consolidation of YY Live business since February 8, 2021 and classified and presented all the related assets and liabilities related to YY Live business on a net basis within prepayments and other current assets. The consideration received by the Company to date has been recorded as advance payments received within accrued liabilities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920" w:type="dxa"/>
            <w:vAlign w:val="bottom"/>
            <w:tcBorders>
              <w:bottom w:val="single" w:sz="8" w:color="auto"/>
            </w:tcBorders>
            <w:gridSpan w:val="4"/>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48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520,393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486,196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466,391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98,169</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69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Total net revenues</w:t>
            </w:r>
            <w:r>
              <w:rPr>
                <w:rFonts w:ascii="Times New Roman" w:cs="Times New Roman" w:eastAsia="Times New Roman" w:hAnsi="Times New Roman"/>
                <w:sz w:val="29"/>
                <w:szCs w:val="29"/>
                <w:color w:val="auto"/>
                <w:vertAlign w:val="superscript"/>
              </w:rPr>
              <w:t>(1)</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583,628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569,839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564,560</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6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(379,002)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(368,360)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(369,197)</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204,626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201,479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195,363</w:t>
            </w: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6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(75,775)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(72,580)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(69,039)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(97,599)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(92,258)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(94,638)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(31,969)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(34,587)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(31,743)</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(205,343)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(199,425)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(195,420)</w:t>
            </w: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3,600</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3,543</w:t>
            </w: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47,145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48,927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(losses) gains, net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(9,921)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(8,158)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and deemed disposal of investments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34,708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47,931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52,087</w:t>
            </w: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(8,158)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(4,537)</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share of loss in equity method investments, net of income taxes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45,616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47,550</w:t>
            </w: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in equity method investments, net of income taxes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(6,606)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(7,395)</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40,089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40,155</w:t>
            </w: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6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the non-controlling interest shareholders and the mezzanine equity</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classified as non-controlling interest shareholders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5,131</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controlling interest of JOYY Inc.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45,835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45,286</w:t>
            </w: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subsidiaries’ redeemable convertible preferred shares to redemption value</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dividend on subsidiary’s Series A Preferred Shares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 of JOYY Inc.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45,485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44,939</w:t>
            </w:r>
          </w:p>
        </w:tc>
      </w:tr>
      <w:tr>
        <w:trPr>
          <w:trHeight w:val="669"/>
        </w:trPr>
        <w:tc>
          <w:tcPr>
            <w:tcW w:w="698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2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7"/>
                <w:szCs w:val="17"/>
                <w:color w:val="auto"/>
              </w:rPr>
            </w:pPr>
          </w:p>
        </w:tc>
        <w:tc>
          <w:tcPr>
            <w:tcW w:w="144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38"/>
        </w:trPr>
        <w:tc>
          <w:tcPr>
            <w:tcW w:w="69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0.74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0.69</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ADS used in calculating net income per ADS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70,451,631</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61,876,261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61,783,347</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80,846,062</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67,384,074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67,152,622</w:t>
            </w:r>
          </w:p>
        </w:tc>
      </w:tr>
      <w:tr>
        <w:trPr>
          <w:trHeight w:val="45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(1)  Revenues by geographical areas were as follows: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2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7"/>
                <w:szCs w:val="17"/>
                <w:color w:val="auto"/>
              </w:rPr>
            </w:pPr>
          </w:p>
        </w:tc>
        <w:tc>
          <w:tcPr>
            <w:tcW w:w="144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38"/>
        </w:trPr>
        <w:tc>
          <w:tcPr>
            <w:tcW w:w="69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countries and regions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217,851</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266,353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291,036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Middle East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118,786</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103,020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87,458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122,819</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68,886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59,801</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Southeast Asia and others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131,580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126,265</w:t>
            </w:r>
          </w:p>
        </w:tc>
      </w:tr>
    </w:tbl>
    <w:p>
      <w:pPr>
        <w:spacing w:after="0" w:line="20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Note: Developed countries and region mainly included the United States of America, Great Britain, Japan, South Korea and Australia. Middle East mainly included Saudi Arabia and other countries located in the region. Southeast Asia and others mainly included Indonesia, Vietnam and rest of the world.</w:t>
      </w:r>
    </w:p>
    <w:p>
      <w:pPr>
        <w:spacing w:after="0" w:line="189"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2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7"/>
                <w:szCs w:val="17"/>
                <w:color w:val="auto"/>
              </w:rPr>
            </w:pPr>
          </w:p>
        </w:tc>
        <w:tc>
          <w:tcPr>
            <w:tcW w:w="144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38"/>
        </w:trPr>
        <w:tc>
          <w:tcPr>
            <w:tcW w:w="69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4,020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2,271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w:t>
            </w:r>
          </w:p>
        </w:tc>
      </w:tr>
      <w:tr>
        <w:trPr>
          <w:trHeight w:val="657"/>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920" w:type="dxa"/>
            <w:vAlign w:val="bottom"/>
            <w:tcBorders>
              <w:bottom w:val="single" w:sz="8" w:color="auto"/>
            </w:tcBorders>
            <w:gridSpan w:val="4"/>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48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6,128</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15,890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15,132</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27,760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27,931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24,803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19,944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40,089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40,155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15,890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15,132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and deemed disposal of investments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related to the convertible bonds’ amortization to face value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(2,222)</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4,434</w:t>
            </w: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43,092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59,383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62,879</w:t>
            </w:r>
          </w:p>
        </w:tc>
      </w:tr>
      <w:tr>
        <w:trPr>
          <w:trHeight w:val="196"/>
        </w:trPr>
        <w:tc>
          <w:tcPr>
            <w:tcW w:w="69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shareholders of JOYY Inc.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45,485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44,939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15,890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15,890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15,132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and deemed disposal of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related to the convertible bonds’ amortization to face value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Accretion, cumulative dividend and deemed dividend to subsidiaries’ preferred shareholders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4,434</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adjustments for net loss attributable to the non-controlling interest shareholders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net income attributable to controlling interest and common shareholders of</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6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JOYY Inc.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49,867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64,200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67,204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per ADS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ADS used in calculating Non-GAAP net income per ADS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70,451,631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61,876,261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61,783,347</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80,846,062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67,384,074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67,152,622</w:t>
            </w:r>
          </w:p>
        </w:tc>
      </w:tr>
      <w:tr>
        <w:trPr>
          <w:trHeight w:val="67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61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23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3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3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40" w:type="dxa"/>
            <w:vAlign w:val="bottom"/>
            <w:gridSpan w:val="2"/>
          </w:tcPr>
          <w:p>
            <w:pPr>
              <w:jc w:val="right"/>
              <w:ind w:right="280"/>
              <w:spacing w:after="0" w:line="250" w:lineRule="exact"/>
              <w:rPr>
                <w:sz w:val="20"/>
                <w:szCs w:val="20"/>
                <w:color w:val="auto"/>
              </w:rPr>
            </w:pPr>
            <w:r>
              <w:rPr>
                <w:rFonts w:ascii="Times New Roman" w:cs="Times New Roman" w:eastAsia="Times New Roman" w:hAnsi="Times New Roman"/>
                <w:sz w:val="17"/>
                <w:szCs w:val="17"/>
                <w:b w:val="1"/>
                <w:bCs w:val="1"/>
                <w:color w:val="auto"/>
              </w:rPr>
              <w:t>Elimination</w:t>
            </w:r>
            <w:r>
              <w:rPr>
                <w:rFonts w:ascii="Times New Roman" w:cs="Times New Roman" w:eastAsia="Times New Roman" w:hAnsi="Times New Roman"/>
                <w:sz w:val="28"/>
                <w:szCs w:val="28"/>
                <w:b w:val="1"/>
                <w:bCs w:val="1"/>
                <w:color w:val="auto"/>
                <w:vertAlign w:val="superscript"/>
              </w:rPr>
              <w:t>(1)</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3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9"/>
                <w:szCs w:val="19"/>
                <w:color w:val="auto"/>
              </w:rPr>
            </w:pPr>
          </w:p>
        </w:tc>
        <w:tc>
          <w:tcPr>
            <w:tcW w:w="12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9"/>
                <w:szCs w:val="19"/>
                <w:color w:val="auto"/>
              </w:rPr>
            </w:pPr>
          </w:p>
        </w:tc>
      </w:tr>
      <w:tr>
        <w:trPr>
          <w:trHeight w:val="22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4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442,154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466,391</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4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63,049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35,518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98,169</w:t>
            </w:r>
          </w:p>
        </w:tc>
      </w:tr>
      <w:tr>
        <w:trPr>
          <w:trHeight w:val="223"/>
        </w:trPr>
        <w:tc>
          <w:tcPr>
            <w:tcW w:w="23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4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505,203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59,755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564,560</w:t>
            </w:r>
          </w:p>
        </w:tc>
      </w:tr>
      <w:tr>
        <w:trPr>
          <w:trHeight w:val="223"/>
        </w:trPr>
        <w:tc>
          <w:tcPr>
            <w:tcW w:w="23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tc>
        <w:tc>
          <w:tcPr>
            <w:tcW w:w="4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(328,583)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(369,197)</w:t>
            </w:r>
          </w:p>
        </w:tc>
      </w:tr>
      <w:tr>
        <w:trPr>
          <w:trHeight w:val="223"/>
        </w:trPr>
        <w:tc>
          <w:tcPr>
            <w:tcW w:w="23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176,620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19,063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195,363</w:t>
            </w:r>
          </w:p>
        </w:tc>
      </w:tr>
      <w:tr>
        <w:trPr>
          <w:trHeight w:val="20"/>
        </w:trPr>
        <w:tc>
          <w:tcPr>
            <w:tcW w:w="2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sectPr>
          <w:pgSz w:w="11900" w:h="16838" w:orient="portrait"/>
          <w:cols w:equalWidth="0" w:num="1">
            <w:col w:w="11240"/>
          </w:cols>
          <w:pgMar w:left="320" w:top="1116"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(41,022)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(69,039)</w:t>
            </w:r>
          </w:p>
        </w:tc>
      </w:tr>
      <w:tr>
        <w:trPr>
          <w:trHeight w:val="230"/>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(74,430)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(94,638)</w:t>
            </w:r>
          </w:p>
        </w:tc>
      </w:tr>
      <w:tr>
        <w:trPr>
          <w:trHeight w:val="234"/>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(14,075)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(31,743)</w:t>
            </w: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-599440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-290830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800" w:space="720"/>
            <w:col w:w="5720"/>
          </w:cols>
          <w:pgMar w:left="320" w:top="1116"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(129,527)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(195,420)</w:t>
            </w:r>
          </w:p>
        </w:tc>
      </w:tr>
      <w:tr>
        <w:trPr>
          <w:trHeight w:val="223"/>
        </w:trPr>
        <w:tc>
          <w:tcPr>
            <w:tcW w:w="55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3,296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3,600</w:t>
            </w:r>
          </w:p>
        </w:tc>
      </w:tr>
      <w:tr>
        <w:trPr>
          <w:trHeight w:val="230"/>
        </w:trPr>
        <w:tc>
          <w:tcPr>
            <w:tcW w:w="5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50,389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(46,846)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3,543</w:t>
            </w:r>
          </w:p>
        </w:tc>
      </w:tr>
      <w:tr>
        <w:trPr>
          <w:trHeight w:val="223"/>
        </w:trPr>
        <w:tc>
          <w:tcPr>
            <w:tcW w:w="55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111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3" w:lineRule="exact"/>
        <w:rPr>
          <w:sz w:val="20"/>
          <w:szCs w:val="20"/>
          <w:color w:val="auto"/>
        </w:rPr>
      </w:pPr>
    </w:p>
    <w:p>
      <w:pPr>
        <w:ind w:right="1960"/>
        <w:spacing w:after="0" w:line="266" w:lineRule="auto"/>
        <w:rPr>
          <w:sz w:val="20"/>
          <w:szCs w:val="20"/>
          <w:color w:val="auto"/>
        </w:rPr>
      </w:pPr>
      <w:r>
        <w:rPr>
          <w:rFonts w:ascii="Times New Roman" w:cs="Times New Roman" w:eastAsia="Times New Roman" w:hAnsi="Times New Roman"/>
          <w:sz w:val="18"/>
          <w:szCs w:val="18"/>
          <w:color w:val="auto"/>
        </w:rPr>
        <w:t>Interest income and investment income Foreign currency exchange gains, net</w:t>
      </w:r>
    </w:p>
    <w:p>
      <w:pPr>
        <w:spacing w:after="0"/>
        <w:rPr>
          <w:sz w:val="20"/>
          <w:szCs w:val="20"/>
          <w:color w:val="auto"/>
        </w:rPr>
      </w:pPr>
      <w:r>
        <w:rPr>
          <w:rFonts w:ascii="Times New Roman" w:cs="Times New Roman" w:eastAsia="Times New Roman" w:hAnsi="Times New Roman"/>
          <w:sz w:val="18"/>
          <w:szCs w:val="18"/>
          <w:color w:val="auto"/>
        </w:rPr>
        <w:t>Gain (loss) on fair value change of investments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3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34,796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48,927</w:t>
            </w:r>
          </w:p>
        </w:tc>
        <w:tc>
          <w:tcPr>
            <w:tcW w:w="60" w:type="dxa"/>
            <w:vAlign w:val="bottom"/>
          </w:tcPr>
          <w:p>
            <w:pPr>
              <w:spacing w:after="0"/>
              <w:rPr>
                <w:sz w:val="19"/>
                <w:szCs w:val="19"/>
                <w:color w:val="auto"/>
              </w:rPr>
            </w:pPr>
          </w:p>
        </w:tc>
      </w:tr>
      <w:tr>
        <w:trPr>
          <w:trHeight w:val="23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60" w:type="dxa"/>
            <w:vAlign w:val="bottom"/>
          </w:tcPr>
          <w:p>
            <w:pPr>
              <w:spacing w:after="0"/>
              <w:rPr>
                <w:sz w:val="19"/>
                <w:szCs w:val="19"/>
                <w:color w:val="auto"/>
              </w:rPr>
            </w:pPr>
          </w:p>
        </w:tc>
      </w:tr>
      <w:tr>
        <w:trPr>
          <w:trHeight w:val="234"/>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60" w:type="dxa"/>
            <w:vAlign w:val="bottom"/>
          </w:tcPr>
          <w:p>
            <w:pPr>
              <w:spacing w:after="0"/>
              <w:rPr>
                <w:sz w:val="20"/>
                <w:szCs w:val="20"/>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-436880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-145415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1116" w:right="3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65,711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(13,624)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52,087</w:t>
            </w:r>
          </w:p>
        </w:tc>
      </w:tr>
      <w:tr>
        <w:trPr>
          <w:trHeight w:val="223"/>
        </w:trPr>
        <w:tc>
          <w:tcPr>
            <w:tcW w:w="55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benefits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(4,662)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(4,537)</w:t>
            </w:r>
          </w:p>
        </w:tc>
      </w:tr>
      <w:tr>
        <w:trPr>
          <w:trHeight w:val="229"/>
        </w:trPr>
        <w:tc>
          <w:tcPr>
            <w:tcW w:w="5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5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share of loss in equity method investments, net of</w:t>
            </w: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61,049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(13,499)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47,550</w:t>
            </w:r>
          </w:p>
        </w:tc>
      </w:tr>
      <w:tr>
        <w:trPr>
          <w:trHeight w:val="223"/>
        </w:trPr>
        <w:tc>
          <w:tcPr>
            <w:tcW w:w="55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in equity method investments, net of income taxes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(7,395)</w:t>
            </w:r>
          </w:p>
        </w:tc>
      </w:tr>
      <w:tr>
        <w:trPr>
          <w:trHeight w:val="230"/>
        </w:trPr>
        <w:tc>
          <w:tcPr>
            <w:tcW w:w="5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61,049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40,155</w:t>
            </w: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19"/>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161" w:lineRule="exact"/>
        <w:rPr>
          <w:rFonts w:ascii="Times New Roman" w:cs="Times New Roman" w:eastAsia="Times New Roman" w:hAnsi="Times New Roman"/>
          <w:sz w:val="18"/>
          <w:szCs w:val="18"/>
          <w:color w:val="auto"/>
        </w:rPr>
      </w:pPr>
    </w:p>
    <w:p>
      <w:pPr>
        <w:ind w:left="340" w:hanging="319"/>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BIGO</w:t>
            </w: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1,751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1,846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w:t>
            </w:r>
          </w:p>
        </w:tc>
      </w:tr>
      <w:tr>
        <w:trPr>
          <w:trHeight w:val="630"/>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 OF UNAUDITED SEGMENT REPORT</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920" w:type="dxa"/>
            <w:vAlign w:val="bottom"/>
            <w:gridSpan w:val="4"/>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50,389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15,132</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63,031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(38,228)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61,049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(20,894)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40,155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15,132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fair value change of investments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related to the convertible bonds’ amortization to face value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4,434</w:t>
            </w: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71,221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(8,342)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62,879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5"/>
          </w:tcPr>
          <w:p>
            <w:pPr>
              <w:ind w:left="322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5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5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40" w:type="dxa"/>
            <w:vAlign w:val="bottom"/>
            <w:gridSpan w:val="2"/>
          </w:tcPr>
          <w:p>
            <w:pPr>
              <w:jc w:val="right"/>
              <w:ind w:right="280"/>
              <w:spacing w:after="0" w:line="250" w:lineRule="exact"/>
              <w:rPr>
                <w:sz w:val="20"/>
                <w:szCs w:val="20"/>
                <w:color w:val="auto"/>
              </w:rPr>
            </w:pPr>
            <w:r>
              <w:rPr>
                <w:rFonts w:ascii="Times New Roman" w:cs="Times New Roman" w:eastAsia="Times New Roman" w:hAnsi="Times New Roman"/>
                <w:sz w:val="17"/>
                <w:szCs w:val="17"/>
                <w:b w:val="1"/>
                <w:bCs w:val="1"/>
                <w:color w:val="auto"/>
              </w:rPr>
              <w:t>Elimination</w:t>
            </w:r>
            <w:r>
              <w:rPr>
                <w:rFonts w:ascii="Times New Roman" w:cs="Times New Roman" w:eastAsia="Times New Roman" w:hAnsi="Times New Roman"/>
                <w:sz w:val="28"/>
                <w:szCs w:val="28"/>
                <w:b w:val="1"/>
                <w:bCs w:val="1"/>
                <w:color w:val="auto"/>
                <w:vertAlign w:val="superscript"/>
              </w:rPr>
              <w:t>(1)</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459,152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486,196</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32,109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51,992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83,643</w:t>
            </w: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491,261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79,036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569,839</w:t>
            </w: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(308,977)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(59,481)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(368,360)</w:t>
            </w: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182,284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19,555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201,479</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(41,011)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(72,580)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(74,944)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(17,343)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(92,258)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(15,321)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(19,327)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(34,587)</w:t>
            </w: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(131,276)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(68,509)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(199,425)</w:t>
            </w: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2,742</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53,011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4,796</w:t>
            </w: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13,262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35,223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47,145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(losses) gains, net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6,263</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57,354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47,931</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benefits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(5,334)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(2,315)</w:t>
            </w: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share of loss in equity method investments, net of</w:t>
            </w: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52,020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45,616</w:t>
            </w: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in equity method investments, net of income taxes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(5,527)</w:t>
            </w: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52,020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40,089</w:t>
            </w: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19"/>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161" w:lineRule="exact"/>
        <w:rPr>
          <w:rFonts w:ascii="Times New Roman" w:cs="Times New Roman" w:eastAsia="Times New Roman" w:hAnsi="Times New Roman"/>
          <w:sz w:val="18"/>
          <w:szCs w:val="18"/>
          <w:color w:val="auto"/>
        </w:rPr>
      </w:pPr>
    </w:p>
    <w:p>
      <w:pPr>
        <w:ind w:left="340" w:hanging="319"/>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BIGO</w:t>
            </w: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2,164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1,920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w:t>
            </w:r>
          </w:p>
        </w:tc>
      </w:tr>
      <w:tr>
        <w:trPr>
          <w:trHeight w:val="630"/>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 OF UNAUDITED SEGMENT REPORT</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920" w:type="dxa"/>
            <w:vAlign w:val="bottom"/>
            <w:gridSpan w:val="5"/>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53,011</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(48,215)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2,737</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4,508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11,225</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15,890</w:t>
            </w: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66,973</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(39,042)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27,931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52,020</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40,089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2,737</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4,508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11,225</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(5,203)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(6,263)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related to the convertible bonds’ amortization to face value</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(1,415)</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4,278</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63,507</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59,383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55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40" w:type="dxa"/>
            <w:vAlign w:val="bottom"/>
            <w:gridSpan w:val="2"/>
          </w:tcPr>
          <w:p>
            <w:pPr>
              <w:jc w:val="right"/>
              <w:ind w:right="280"/>
              <w:spacing w:after="0" w:line="250" w:lineRule="exact"/>
              <w:rPr>
                <w:sz w:val="20"/>
                <w:szCs w:val="20"/>
                <w:color w:val="auto"/>
              </w:rPr>
            </w:pPr>
            <w:r>
              <w:rPr>
                <w:rFonts w:ascii="Times New Roman" w:cs="Times New Roman" w:eastAsia="Times New Roman" w:hAnsi="Times New Roman"/>
                <w:sz w:val="17"/>
                <w:szCs w:val="17"/>
                <w:b w:val="1"/>
                <w:bCs w:val="1"/>
                <w:color w:val="auto"/>
              </w:rPr>
              <w:t>Elimination</w:t>
            </w:r>
            <w:r>
              <w:rPr>
                <w:rFonts w:ascii="Times New Roman" w:cs="Times New Roman" w:eastAsia="Times New Roman" w:hAnsi="Times New Roman"/>
                <w:sz w:val="28"/>
                <w:szCs w:val="28"/>
                <w:b w:val="1"/>
                <w:bCs w:val="1"/>
                <w:color w:val="auto"/>
                <w:vertAlign w:val="superscript"/>
              </w:rPr>
              <w:t>(1)</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446,586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520,393</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41,909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63,235</w:t>
            </w:r>
          </w:p>
        </w:tc>
        <w:tc>
          <w:tcPr>
            <w:tcW w:w="80" w:type="dxa"/>
            <w:vAlign w:val="bottom"/>
            <w:shd w:val="clear" w:color="auto" w:fill="CCEEFF"/>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467,942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115,716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583,628</w:t>
            </w:r>
          </w:p>
        </w:tc>
        <w:tc>
          <w:tcPr>
            <w:tcW w:w="80" w:type="dxa"/>
            <w:vAlign w:val="bottom"/>
            <w:shd w:val="clear" w:color="auto" w:fill="CCEEFF"/>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5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(293,705)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(379,002)</w:t>
            </w: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174,237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30,389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204,626</w:t>
            </w:r>
          </w:p>
        </w:tc>
        <w:tc>
          <w:tcPr>
            <w:tcW w:w="80" w:type="dxa"/>
            <w:vAlign w:val="bottom"/>
            <w:shd w:val="clear" w:color="auto" w:fill="CCEEFF"/>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5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(41,212)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(34,563)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(75,775)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(74,084)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(23,515)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(97,599)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(13,701)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(31,969)</w:t>
            </w: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(128,997)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(76,346)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(205,343)</w:t>
            </w: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48,190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(45,659)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tcPr>
          <w:p>
            <w:pPr>
              <w:spacing w:after="0"/>
              <w:rPr>
                <w:sz w:val="18"/>
                <w:szCs w:val="18"/>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(3,109)</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36,070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(1,151)</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losses, net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(9,680)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(9,921)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and deemed disposal of investments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80" w:type="dxa"/>
            <w:vAlign w:val="bottom"/>
          </w:tcPr>
          <w:p>
            <w:pPr>
              <w:spacing w:after="0"/>
              <w:rPr>
                <w:sz w:val="18"/>
                <w:szCs w:val="18"/>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46,951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34,708</w:t>
            </w:r>
          </w:p>
        </w:tc>
        <w:tc>
          <w:tcPr>
            <w:tcW w:w="80" w:type="dxa"/>
            <w:vAlign w:val="bottom"/>
          </w:tcPr>
          <w:p>
            <w:pPr>
              <w:spacing w:after="0"/>
              <w:rPr>
                <w:sz w:val="18"/>
                <w:szCs w:val="18"/>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(8,158)</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4"/>
        </w:trPr>
        <w:tc>
          <w:tcPr>
            <w:tcW w:w="5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share of loss in equity method investments, net of</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43,382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80" w:type="dxa"/>
            <w:vAlign w:val="bottom"/>
          </w:tcPr>
          <w:p>
            <w:pPr>
              <w:spacing w:after="0"/>
              <w:rPr>
                <w:sz w:val="20"/>
                <w:szCs w:val="20"/>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in equity method investments, net of income taxes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(6,606)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(6,606)</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43,382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19"/>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161" w:lineRule="exact"/>
        <w:rPr>
          <w:rFonts w:ascii="Times New Roman" w:cs="Times New Roman" w:eastAsia="Times New Roman" w:hAnsi="Times New Roman"/>
          <w:sz w:val="18"/>
          <w:szCs w:val="18"/>
          <w:color w:val="auto"/>
        </w:rPr>
      </w:pPr>
    </w:p>
    <w:p>
      <w:pPr>
        <w:ind w:left="340" w:hanging="319"/>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BIGO</w:t>
            </w: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2,934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1,350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w:t>
            </w:r>
          </w:p>
        </w:tc>
      </w:tr>
      <w:tr>
        <w:trPr>
          <w:trHeight w:val="630"/>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 OF UNAUDITED SEGMENT REPORT</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920" w:type="dxa"/>
            <w:vAlign w:val="bottom"/>
            <w:gridSpan w:val="4"/>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48,190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(45,659)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15,890</w:t>
            </w: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63,746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(35,986)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27,760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43,382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(23,438)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19,944</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15,890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and deemed disposal of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related to the convertible bonds’ amortization to face value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56,835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43,092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9"/>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9"/>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2024-05-29T07:11:46Z</dcterms:created>
  <dcterms:modified xsi:type="dcterms:W3CDTF">2024-05-29T07:11:46Z</dcterms:modified>
</cp:coreProperties>
</file>