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06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412"/>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453"/>
        </w:trPr>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Ting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Third Quarter 2024 Unaudited Financial Results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Singapore, November 27, 2024 (GLOBE NEWSWIRE) -- JOYY Inc. (NASDAQ: YY) (“JOYY” or the “Company”), a global technology company, today announced its unaudited financial results for the third quarter of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100" w:hanging="92"/>
        <w:spacing w:after="0"/>
        <w:tabs>
          <w:tab w:leader="none" w:pos="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US$558.7 million, compared to US$567.1 million in the corresponding period of 2023.</w:t>
      </w:r>
    </w:p>
    <w:p>
      <w:pPr>
        <w:spacing w:after="0" w:line="31" w:lineRule="exact"/>
        <w:rPr>
          <w:rFonts w:ascii="Times New Roman" w:cs="Times New Roman" w:eastAsia="Times New Roman" w:hAnsi="Times New Roman"/>
          <w:sz w:val="18"/>
          <w:szCs w:val="18"/>
          <w:color w:val="auto"/>
        </w:rPr>
      </w:pPr>
    </w:p>
    <w:p>
      <w:pPr>
        <w:ind w:left="100" w:hanging="92"/>
        <w:spacing w:after="0" w:line="214" w:lineRule="auto"/>
        <w:tabs>
          <w:tab w:leader="none" w:pos="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income attributable to controlling interest of JOYY</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US$60.6 million, compared to US$72.9 million in the corresponding period of 2023.</w:t>
      </w:r>
    </w:p>
    <w:p>
      <w:pPr>
        <w:spacing w:after="0" w:line="1" w:lineRule="exact"/>
        <w:rPr>
          <w:rFonts w:ascii="Times New Roman" w:cs="Times New Roman" w:eastAsia="Times New Roman" w:hAnsi="Times New Roman"/>
          <w:sz w:val="18"/>
          <w:szCs w:val="18"/>
          <w:color w:val="auto"/>
        </w:rPr>
      </w:pPr>
    </w:p>
    <w:p>
      <w:pPr>
        <w:ind w:right="40" w:firstLine="8"/>
        <w:spacing w:after="0" w:line="191" w:lineRule="auto"/>
        <w:tabs>
          <w:tab w:leader="none" w:pos="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 attributable to controlling interest and common shareholders of JOYY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US$61.2 million, compared to US$81.2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corresponding period of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Operational Highlights</w:t>
      </w:r>
    </w:p>
    <w:p>
      <w:pPr>
        <w:spacing w:after="0" w:line="225"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Bigo Live </w:t>
      </w:r>
      <w:r>
        <w:rPr>
          <w:rFonts w:ascii="Times New Roman" w:cs="Times New Roman" w:eastAsia="Times New Roman" w:hAnsi="Times New Roman"/>
          <w:sz w:val="18"/>
          <w:szCs w:val="18"/>
          <w:color w:val="auto"/>
        </w:rPr>
        <w:t>was 36.5 million, compared to 40.3 million in the corresponding period of 2023.</w:t>
      </w:r>
    </w:p>
    <w:p>
      <w:pPr>
        <w:spacing w:after="0" w:line="31" w:lineRule="exact"/>
        <w:rPr>
          <w:rFonts w:ascii="Times New Roman" w:cs="Times New Roman" w:eastAsia="Times New Roman" w:hAnsi="Times New Roman"/>
          <w:sz w:val="18"/>
          <w:szCs w:val="18"/>
          <w:color w:val="auto"/>
        </w:rPr>
      </w:pPr>
    </w:p>
    <w:p>
      <w:pPr>
        <w:ind w:right="180" w:firstLine="8"/>
        <w:spacing w:after="0" w:line="250" w:lineRule="auto"/>
        <w:tabs>
          <w:tab w:leader="none" w:pos="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Likee </w:t>
      </w:r>
      <w:r>
        <w:rPr>
          <w:rFonts w:ascii="Times New Roman" w:cs="Times New Roman" w:eastAsia="Times New Roman" w:hAnsi="Times New Roman"/>
          <w:sz w:val="18"/>
          <w:szCs w:val="18"/>
          <w:color w:val="auto"/>
        </w:rPr>
        <w:t>was 33.9 million, compared to 41.0 million in the corresponding period of 2023, primarily due to disciplined spending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user acquisition via advertisement.</w:t>
      </w:r>
    </w:p>
    <w:p>
      <w:pPr>
        <w:ind w:right="140" w:firstLine="8"/>
        <w:spacing w:after="0" w:line="250" w:lineRule="auto"/>
        <w:tabs>
          <w:tab w:leader="none" w:pos="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mobile MAUs of Hago </w:t>
      </w:r>
      <w:r>
        <w:rPr>
          <w:rFonts w:ascii="Times New Roman" w:cs="Times New Roman" w:eastAsia="Times New Roman" w:hAnsi="Times New Roman"/>
          <w:sz w:val="18"/>
          <w:szCs w:val="18"/>
          <w:color w:val="auto"/>
        </w:rPr>
        <w:t>was 4.3 million, compared to 5.0 million in the corresponding period of 2023, primarily due to disciplined spending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 acquisition via advertisement.</w:t>
      </w:r>
    </w:p>
    <w:p>
      <w:pPr>
        <w:ind w:left="100" w:hanging="92"/>
        <w:spacing w:after="0" w:line="214" w:lineRule="auto"/>
        <w:tabs>
          <w:tab w:leader="none" w:pos="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average mobile MAUs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272.4 million, compared to 276.8 million in the corresponding period of 2023.</w:t>
      </w:r>
    </w:p>
    <w:p>
      <w:pPr>
        <w:spacing w:after="0" w:line="1" w:lineRule="exact"/>
        <w:rPr>
          <w:rFonts w:ascii="Times New Roman" w:cs="Times New Roman" w:eastAsia="Times New Roman" w:hAnsi="Times New Roman"/>
          <w:sz w:val="18"/>
          <w:szCs w:val="18"/>
          <w:color w:val="auto"/>
        </w:rPr>
      </w:pPr>
    </w:p>
    <w:p>
      <w:pPr>
        <w:ind w:right="60" w:firstLine="8"/>
        <w:spacing w:after="0" w:line="191" w:lineRule="auto"/>
        <w:tabs>
          <w:tab w:leader="none" w:pos="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paying users of BIGO (including Bigo Live, Likee and imo)</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1.62 million, compared to 1.61 million in the corresponding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w:t>
      </w:r>
    </w:p>
    <w:p>
      <w:pPr>
        <w:ind w:right="740" w:firstLine="8"/>
        <w:spacing w:after="0" w:line="209" w:lineRule="auto"/>
        <w:tabs>
          <w:tab w:leader="none" w:pos="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revenue per paying user, or ARPPU, of BIGO (including Bigo Live, Likee and imo)</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US$231.4, compared to US$253.4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of 2023.</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Ms. Ting Li, Chairperson and Chief Executive Officer of JOYY, commented, “During the third quarter, we continued to execute effectively on our strategic priorities, cultivating our global social and content ecosystem and enhancing our global operational capabilities and efficiencies, which yielded solid results. Our group’s GAAP and non-GAAP operating income was US$16.4 million and US$34.9 million respectively, up by 623.5% and 16.4% on a quarterly basis. During the third quarter, we continued to cultivate long-run initiatives that will further diversify our revenue. Our group’s non-livestreaming revenues grew by 13.1% to US$119.2 million quarter-over-quarter, contributing 21.3% of the group’s total revenue in the third quarter. In addition, we reaffirmed our commitment to shareholder returns by repurchasing an additional US$117.8 million worth of our shares during the quarter.”</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“Looking ahead, we remain focused on enhancing user experiences through product innovation, advancing operational excellence across our global footprint, and further diversifying our revenue streams. Supported by our strong cash flow and healthy financial position, we are well-positioned to deliver sustainable, profitable growth and create lasting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US$558.7 million in the third quarter of 2024, compared to US$567.1 million in the corresponding period of 2023.</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Live streaming revenues were US$439.5 million in the third quarter of 2024, compared to US$495.8 million in the corresponding period of 2023. The decrease was mainly the result of decreased ARPPU of BIGO, and certain adjustments to our audio livestreaming products.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revenues increased by 67.2% to US$119.2 million in the third quarter of 2024 from US$71.3 million in the corresponding period of 2023, primarily due to the substantial growth of our advertisement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revenues decreased by 2.1% to US$350.5 million in the third quarter of 2024 from US$357.9 million in the corresponding period of 2023. BIGO’s cost of revenues increased by 4.5% to US$312.6 million, primarily due to increased revenue-sharing fees and content costs, driven by increased traffic acquisition costs paid to third-party partners in relation to our expanding advertising business. All other’s cost of revenues decreased by 35.3% to US$38.1 million, consistent with the decline in segment revenue.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was US$208.1 million in the third quarter of 2024, compared to US$209.2 million in the corresponding period of 2023. Gross margin was 37.3% in the third quarter of 2024, compared to 36.9% in the corresponding period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expenses were US$192.0 million in the third quarter of 2024, compared to US$191.3 million in the corresponding period of 2023. Among the operating expenses, sales and marketing expenses decreased to US$83.5 million for the third quarter of 2024 from US$92.5 million in the corresponding period of 2023, primarily due to the Company’s optimization of overall sales and marketing strategies across various product lines to be more focused on return-on-investment and effectiveness of user acquisition. General and administrative expenses increased to US$36.1 million for the third quarter of 2024 from US$27.1 million in the corresponding period of 2023, primarily due to increases in salary and welfare for general and administrative personnel.</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income was US$16.4 million in the third quarter of 2024, compared to US$12.0 million in the corresponding period of 2023. Operating income margin was 2.9% in the third quarter of 2024, compared to 2.1% in the corresponding period of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was US$34.9 million in the third quarter of 2024, compared to US$40.4 million in the corresponding period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was 6.2% in the third quarter of 2024, compared to 7.1% in the corresponding period of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Net income attributable to controlling interest of JOYY was US$60.6 million in the third quarter of 2024, compared to US$72.9 million in the corresponding period of 2023. Net income margin was 10.8% in the third quarter of 2024, compared to 12.9% in the corresponding period of 2023.</w:t>
      </w:r>
    </w:p>
    <w:p>
      <w:pPr>
        <w:spacing w:after="0" w:line="14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Non-GAAP net income attributable to controlling interest and common shareholders of JOYY was US$61.2 million in the third quarter of 2024, compared to US$81.2 million in the corresponding period of 2023. Non-GAAP net income margin</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was 10.9% in the third quarter of 2024, compared to non-GAAP net income margin of 14.3% in the corresponding period of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per ADS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US$1.05 in the third quarter of 2024, compared to US$1.86 in the corresponding period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diluted net income per ADS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US$1.07 in the third quarter of 2024, compared to US$1.22 in the corresponding period of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33"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As of September 30, 2024, the Company had net cash</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of US$3,302.1 million, compared with US$3,357.9 million as of December 31, 2023. For the third quarter of 2024, net cash from operating activities was US$61.1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 total of 1,076.6 million common shares outstanding, representing the equivalent of 53.8 million ADSs assuming the conversion of all common shares into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fourth quarter of 2024, the Company expects net revenues to be between US$546 million and US$563 million. This forecast reflects the Company’s current and preliminary views on the market, operational conditions and business strategies, which are subject to changes, particularly as to the potential impact from increasing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September 30, 2024, the Company repurchased 3.43 million of its ADSs for a total of US$117.8 million on the open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quarters of 2024, the Company has repurchased 7.31 million of its ADSs for a total of US$243.7 million.</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share repurchase program which was extended by the board of directors in August 2024, the Company may repurchase up to US$400 million of its shares until the end of November 2025. As of September 30, 2024, the Company has utilized US$117.8 million under the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hold a conference call at 9:00 PM U.S. Eastern Time on Tuesday, November 26, 2024 (10:00 AM Singapore/Hong Kong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November 27, 2024). Details for the conference call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JOYY Inc. Third Quarter 2024 Earnings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#10043422</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https://s1.c-conf.com/diamondpass/10043422-tuhgyr.html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December 4, 2024,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#10043422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JOYY is a leading global technology company with a mission to enrich lives through technology. JOYY currently operates several social products, including Bigo Live for live streaming, Likee for short-form videos, Hago for multiplayer social networking, an instant messaging product, and others. The Company has created a highly engaging and vibrant user community for users across the globe. JOYY’s ADSs have been listed on the NASDAQ since November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communication social platform market; the expectation regarding the rate at which to gain active users, especially paying users; JOYY’s ability to monetize the user base; the developments in the sale of YY Live;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 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JOYY uses non-GAAP operating income, non-GAAP operating (loss) margin, non-GAAP net income (loss) attributable to controlling interest of JOYY, non-GAAP net income (loss) margin attributable to controlling interest of JOYY, non-GAAP net income (loss) attributable to common shareholders of JOYY, and basic and diluted non-GAAP net income (loss)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disposal of subsidiaries and business. Non-GAAP operating (loss) margin is non-GAAP operating income as a percentage of net revenues. Non-GAAP net income (loss) is net income (loss)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gain (loss) on extinguishment of debt and derivative, interest expenses related to the convertible bonds’ amortization to face value, and income tax effects of the above non-GAAP reconciling items. Non-GAAP net income (loss) attributable to controlling interest of JOYY is net income (loss) attributable to controlling interest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income tax effects of the above non-GAAP reconciling items and adjustments for non-GAAP reconciling items for the net (loss) income attributable to non-controlling interest shareholders. Non-GAAP net income (loss) margin is non-GAAP net income (loss) attributable to controlling interest of JOYY as a percentage of net revenues. Non-GAAP net income (loss) attributable to common shareholders of JOYY is net income (loss) attributable to common shareholders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attributable to non-controlling interest shareholders. After the non-GAAP adjustment, non-GAAP net income (loss) attributable to controlling interests of JOYY is equal to the non-GAAP net income (loss) attributable to common shareholders of JOYY. Basic and diluted non-GAAP net income (loss) per ADS is non-GAAP net income (loss)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and amortization of intangible assets from business acquisitions, gain (loss) on extinguishment of debt and derivative, interest expenses related to the convertible bonds’ amortization to face value, which have been and will continue to be significant recurring expenses in its business, (ii) impairment of goodwill and investments, gain (loss) on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16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Xie/Maggie 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joyy@icrinc.com</w:t>
      </w:r>
    </w:p>
    <w:p>
      <w:pPr>
        <w:spacing w:after="0" w:line="200" w:lineRule="exact"/>
        <w:rPr>
          <w:sz w:val="20"/>
          <w:szCs w:val="20"/>
          <w:color w:val="auto"/>
        </w:rPr>
      </w:pPr>
    </w:p>
    <w:p>
      <w:pPr>
        <w:spacing w:after="0" w:line="304" w:lineRule="exact"/>
        <w:rPr>
          <w:sz w:val="20"/>
          <w:szCs w:val="20"/>
          <w:color w:val="auto"/>
        </w:rPr>
      </w:pPr>
    </w:p>
    <w:p>
      <w:pPr>
        <w:ind w:right="20" w:firstLine="8"/>
        <w:spacing w:after="0" w:line="238" w:lineRule="auto"/>
        <w:tabs>
          <w:tab w:leader="none" w:pos="183"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November 16, 2020, the Company entered into definitive agreements with affiliates of Baidu, Inc. (“Baidu”), subsequently amended on February 7, 2021. Pursuant to the agreements, Baidu would acquire JOYY’s video-based entertainment live streaming business in mainland China, which the Company refers to as YY Live, including the YY mobile app, the YY.com website and the YY PC app, among others, for an aggregate purchase price of approximately US$3.6 billion in cash, subject to certain adjustments. Subsequently, the sale was substantially completed as of February 8, 2021, with certain matters remaining to be completed, including necessary regulatory approvals from government authorities. As a result, YY Live’s historical results were presented in the Company’s consolidated financial statements as discontinued operations and the Company ceased consolidation of YY Live’s business since February 8, 2021. On January 1, 2024, the Company received a written notice from an affiliate of Baidu, purporting to terminate the share purchase agreement. Baidu asserted in the written notice that it has and exercised the right to terminate the referenced share purchase agreement and effectively cancel the transaction. The Company is in discussion with Baidu on the next steps following the termination of the share purchase agreement. The Company is also seeking legal advice and will consider all options at its disposal in response to Baidu’s written notice and expressly reserve all rights. From January 1, 2024 to the date of this press release, the Company has not obtained control of YY Live and has not consolidated YY Live. To the date of this press release, the latest development of the transaction has not affected the Company’s operating activities or financial results.</w:t>
      </w:r>
    </w:p>
    <w:p>
      <w:pPr>
        <w:spacing w:after="0" w:line="2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financial information and non-GAAP financial information disclosed in this press release is presented on a continuing operations basis, unless otherwise specifically stated. For the avoidance of confusion, the continuing operations for the three months ended September 30, 2023, June 30, 2024 and September 30, 2024 and for the nine months ended September 30, 2023 and September 30, 2024, as presented in this press release, primarily consisted of BIGO segment (primarily including Bigo Live, Likee and imo) and the All other segment, excluding YY Live.</w:t>
      </w:r>
    </w:p>
    <w:p>
      <w:pPr>
        <w:spacing w:after="0" w:line="200" w:lineRule="exact"/>
        <w:rPr>
          <w:sz w:val="20"/>
          <w:szCs w:val="20"/>
          <w:color w:val="auto"/>
        </w:rPr>
      </w:pPr>
    </w:p>
    <w:p>
      <w:pPr>
        <w:spacing w:after="0" w:line="277" w:lineRule="exact"/>
        <w:rPr>
          <w:sz w:val="20"/>
          <w:szCs w:val="20"/>
          <w:color w:val="auto"/>
        </w:rPr>
      </w:pPr>
    </w:p>
    <w:p>
      <w:pPr>
        <w:ind w:right="500" w:firstLine="8"/>
        <w:spacing w:after="0" w:line="195" w:lineRule="auto"/>
        <w:tabs>
          <w:tab w:leader="none" w:pos="183"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(loss) attributable to controlling interest of JOYY is net income (loss) less net (loss) income attributable to the non-controlling interest shareholders and the mezzanine equity classified as non-controlling interest shareholders.</w:t>
      </w:r>
    </w:p>
    <w:p>
      <w:pPr>
        <w:spacing w:after="0" w:line="200" w:lineRule="exact"/>
        <w:rPr>
          <w:sz w:val="20"/>
          <w:szCs w:val="20"/>
          <w:color w:val="auto"/>
        </w:rPr>
      </w:pPr>
    </w:p>
    <w:p>
      <w:pPr>
        <w:spacing w:after="0" w:line="297" w:lineRule="exact"/>
        <w:rPr>
          <w:sz w:val="20"/>
          <w:szCs w:val="20"/>
          <w:color w:val="auto"/>
        </w:rPr>
      </w:pPr>
    </w:p>
    <w:p>
      <w:pPr>
        <w:ind w:right="80" w:firstLine="8"/>
        <w:spacing w:after="0" w:line="235" w:lineRule="auto"/>
        <w:tabs>
          <w:tab w:leader="none" w:pos="183"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(loss) attributable to controlling interest of JOYY is a non-GAAP financial measure, which is defined as net income (loss) attributable to controlling interest of JOYY excluding share-based compensation expenses, impairment of goodwill and investments, amortization of intangible assets from business acquisitions, gain (loss) on disposal of subsidiaries and business, gain (loss) on disposal and deemed disposal of investments, gain (loss) on fair value change of investments, reconciling items on the share of equity method investments which refer to those similar non-GAAP reconciling items of the Company, gain (loss) on extinguishment of debt and derivative, interest expenses related to the convertible bonds amortization to face value, income tax effects of the above non-GAAP reconciling items and adjustments for non-GAAP reconciling items for net (loss) income attributable to non-controlling interest shareholders. These adjustments amounted to US$0.6 million and US$8.3 million in the third quarter of 2024 and 2023, respectively. Please refer to the section titled “Use of Non-GAAP Financial Measures” and the table captioned “JOYY Inc. Unaudited Reconciliation of GAAP and Non-GAAP Results” near the end of this press release for details.</w:t>
      </w:r>
    </w:p>
    <w:p>
      <w:pPr>
        <w:spacing w:after="0" w:line="200" w:lineRule="exact"/>
        <w:rPr>
          <w:sz w:val="20"/>
          <w:szCs w:val="20"/>
          <w:color w:val="auto"/>
        </w:rPr>
      </w:pPr>
    </w:p>
    <w:p>
      <w:pPr>
        <w:spacing w:after="0" w:line="298" w:lineRule="exact"/>
        <w:rPr>
          <w:sz w:val="20"/>
          <w:szCs w:val="20"/>
          <w:color w:val="auto"/>
        </w:rPr>
      </w:pPr>
    </w:p>
    <w:p>
      <w:pPr>
        <w:ind w:right="200" w:firstLine="8"/>
        <w:spacing w:after="0" w:line="210" w:lineRule="auto"/>
        <w:tabs>
          <w:tab w:leader="none" w:pos="183"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Refers to average mobile monthly active users of the social entertainment platforms operated by the Company, including Bigo Live, Likee, imo and Hago. Average mobile MAU for any period is calculated by dividing (i) the sum of the Company’s mobile active users for each month of such period, by (ii) the number of months in such period.</w:t>
      </w:r>
    </w:p>
    <w:p>
      <w:pPr>
        <w:spacing w:after="0" w:line="200" w:lineRule="exact"/>
        <w:rPr>
          <w:sz w:val="20"/>
          <w:szCs w:val="20"/>
          <w:color w:val="auto"/>
        </w:rPr>
      </w:pPr>
    </w:p>
    <w:p>
      <w:pPr>
        <w:spacing w:after="0" w:line="297" w:lineRule="exact"/>
        <w:rPr>
          <w:sz w:val="20"/>
          <w:szCs w:val="20"/>
          <w:color w:val="auto"/>
        </w:rPr>
      </w:pPr>
    </w:p>
    <w:p>
      <w:pPr>
        <w:ind w:firstLine="8"/>
        <w:spacing w:after="0" w:line="195" w:lineRule="auto"/>
        <w:tabs>
          <w:tab w:leader="none" w:pos="183"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paying users during a given period is calculated as the cumulative number of registered user accounts that have purchased virtual items or other products and services on Bigo Live, Likee or imo at least once during the relevant period.</w:t>
      </w:r>
    </w:p>
    <w:p>
      <w:pPr>
        <w:spacing w:after="0" w:line="335" w:lineRule="exact"/>
        <w:rPr>
          <w:sz w:val="20"/>
          <w:szCs w:val="20"/>
          <w:color w:val="auto"/>
        </w:rPr>
      </w:pPr>
    </w:p>
    <w:p>
      <w:pPr>
        <w:ind w:right="440" w:firstLine="8"/>
        <w:spacing w:after="0" w:line="195" w:lineRule="auto"/>
        <w:tabs>
          <w:tab w:leader="none" w:pos="138"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revenue per user is calculated by dividing our total revenues from live streaming on Bigo Live, Likee and imo during a given period by the number of paying users for the Company’s live streaming services on these platforms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both"/>
        <w:ind w:left="-8" w:firstLine="8"/>
        <w:spacing w:after="0" w:line="219" w:lineRule="auto"/>
        <w:tabs>
          <w:tab w:leader="none" w:pos="175"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income (loss) is a non-GAAP financial measure, which is defined as operating income (loss) excluding share-based compensation expenses, amortization of intangible assets from business acquisitions, impairment of goodwill and investments and gain (loss) on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00" w:lineRule="exact"/>
        <w:rPr>
          <w:sz w:val="20"/>
          <w:szCs w:val="20"/>
          <w:color w:val="auto"/>
        </w:rPr>
      </w:pPr>
    </w:p>
    <w:p>
      <w:pPr>
        <w:spacing w:after="0" w:line="296" w:lineRule="exact"/>
        <w:rPr>
          <w:sz w:val="20"/>
          <w:szCs w:val="20"/>
          <w:color w:val="auto"/>
        </w:rPr>
      </w:pPr>
    </w:p>
    <w:p>
      <w:pPr>
        <w:ind w:left="-8" w:right="60" w:firstLine="8"/>
        <w:spacing w:after="0" w:line="210" w:lineRule="auto"/>
        <w:tabs>
          <w:tab w:leader="none" w:pos="175"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130" w:lineRule="exact"/>
        <w:rPr>
          <w:sz w:val="20"/>
          <w:szCs w:val="20"/>
          <w:color w:val="auto"/>
        </w:rPr>
      </w:pPr>
    </w:p>
    <w:p>
      <w:pPr>
        <w:ind w:left="112" w:hanging="112"/>
        <w:spacing w:after="0"/>
        <w:tabs>
          <w:tab w:leader="none" w:pos="112"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(loss) margin is non-GAAP net income (loss) attributable to controlling interest of JOYY as a percentage of net revenues.</w:t>
      </w:r>
    </w:p>
    <w:p>
      <w:pPr>
        <w:spacing w:after="0" w:line="333" w:lineRule="exact"/>
        <w:rPr>
          <w:sz w:val="20"/>
          <w:szCs w:val="20"/>
          <w:color w:val="auto"/>
        </w:rPr>
      </w:pPr>
    </w:p>
    <w:p>
      <w:pPr>
        <w:ind w:left="-8" w:right="100" w:firstLine="8"/>
        <w:spacing w:after="0" w:line="195" w:lineRule="auto"/>
        <w:tabs>
          <w:tab w:leader="none" w:pos="205"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40" w:lineRule="exact"/>
        <w:rPr>
          <w:rFonts w:ascii="Times New Roman" w:cs="Times New Roman" w:eastAsia="Times New Roman" w:hAnsi="Times New Roman"/>
          <w:sz w:val="30"/>
          <w:szCs w:val="30"/>
          <w:color w:val="auto"/>
          <w:vertAlign w:val="superscript"/>
        </w:rPr>
      </w:pPr>
    </w:p>
    <w:p>
      <w:pPr>
        <w:ind w:left="-8" w:right="160" w:firstLine="8"/>
        <w:spacing w:after="0" w:line="347" w:lineRule="auto"/>
        <w:tabs>
          <w:tab w:leader="none" w:pos="174"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diluted net income (loss) per ADS is a non-GAAP financial measure, which is defined as non-GAAP net income (loss)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156" w:lineRule="exact"/>
        <w:rPr>
          <w:rFonts w:ascii="Times New Roman" w:cs="Times New Roman" w:eastAsia="Times New Roman" w:hAnsi="Times New Roman"/>
          <w:sz w:val="26"/>
          <w:szCs w:val="26"/>
          <w:color w:val="auto"/>
          <w:vertAlign w:val="superscript"/>
        </w:rPr>
      </w:pPr>
    </w:p>
    <w:p>
      <w:pPr>
        <w:ind w:left="-8" w:right="200" w:firstLine="8"/>
        <w:spacing w:after="0" w:line="208" w:lineRule="auto"/>
        <w:tabs>
          <w:tab w:leader="none" w:pos="187"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Net cash is calculated as the sum of cash and cash equivalents, restricted cash and cash equivalents, short-term deposits, restricted short-term deposits, short-term investments and long-term deposits, less convertible bonds and short-term and long-term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gridSpan w:val="2"/>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1,063,956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481,763</w:t>
            </w:r>
          </w:p>
        </w:tc>
        <w:tc>
          <w:tcPr>
            <w:tcW w:w="8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396,377</w:t>
            </w:r>
          </w:p>
        </w:tc>
        <w:tc>
          <w:tcPr>
            <w:tcW w:w="8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1,970,346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1,791,808</w:t>
            </w:r>
          </w:p>
        </w:tc>
        <w:tc>
          <w:tcPr>
            <w:tcW w:w="8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35,143</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191,578</w:t>
            </w:r>
          </w:p>
        </w:tc>
        <w:tc>
          <w:tcPr>
            <w:tcW w:w="8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129,337</w:t>
            </w:r>
          </w:p>
        </w:tc>
        <w:tc>
          <w:tcPr>
            <w:tcW w:w="8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70"/>
        </w:trPr>
        <w:tc>
          <w:tcPr>
            <w:tcW w:w="8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Prepayments and other current assets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255,489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260,412</w:t>
            </w:r>
          </w:p>
        </w:tc>
        <w:tc>
          <w:tcPr>
            <w:tcW w:w="80" w:type="dxa"/>
            <w:vAlign w:val="bottom"/>
          </w:tcPr>
          <w:p>
            <w:pPr>
              <w:spacing w:after="0"/>
              <w:rPr>
                <w:sz w:val="23"/>
                <w:szCs w:val="23"/>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4,072,640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460,000</w:t>
            </w:r>
          </w:p>
        </w:tc>
        <w:tc>
          <w:tcPr>
            <w:tcW w:w="8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544,542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567,504</w:t>
            </w:r>
          </w:p>
        </w:tc>
        <w:tc>
          <w:tcPr>
            <w:tcW w:w="8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462,916</w:t>
            </w:r>
          </w:p>
        </w:tc>
        <w:tc>
          <w:tcPr>
            <w:tcW w:w="80" w:type="dxa"/>
            <w:vAlign w:val="bottom"/>
            <w:shd w:val="clear" w:color="auto" w:fill="CCEEFF"/>
          </w:tcPr>
          <w:p>
            <w:pPr>
              <w:spacing w:after="0"/>
              <w:rPr>
                <w:sz w:val="19"/>
                <w:szCs w:val="19"/>
                <w:color w:val="auto"/>
              </w:rPr>
            </w:pP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316,070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313,075</w:t>
            </w:r>
          </w:p>
        </w:tc>
        <w:tc>
          <w:tcPr>
            <w:tcW w:w="8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333,715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291,004</w:t>
            </w:r>
          </w:p>
        </w:tc>
        <w:tc>
          <w:tcPr>
            <w:tcW w:w="8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23,295</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2,649,281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2,649,297</w:t>
            </w:r>
          </w:p>
        </w:tc>
        <w:tc>
          <w:tcPr>
            <w:tcW w:w="8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25,894</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4,411,225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8,483,865</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8,080,143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52,119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54,523</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66,755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91,483</w:t>
            </w: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73,673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72,321</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19"/>
                <w:szCs w:val="19"/>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86,100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79,338</w:t>
            </w:r>
          </w:p>
        </w:tc>
      </w:tr>
      <w:tr>
        <w:trPr>
          <w:trHeight w:val="270"/>
        </w:trPr>
        <w:tc>
          <w:tcPr>
            <w:tcW w:w="84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Accrued liabilities and other current liabilities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2,381,189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2,380,130</w:t>
            </w:r>
          </w:p>
        </w:tc>
        <w:tc>
          <w:tcPr>
            <w:tcW w:w="80" w:type="dxa"/>
            <w:vAlign w:val="bottom"/>
          </w:tcPr>
          <w:p>
            <w:pPr>
              <w:spacing w:after="0"/>
              <w:rPr>
                <w:sz w:val="23"/>
                <w:szCs w:val="23"/>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CEEFF"/>
          </w:tcPr>
          <w:p>
            <w:pPr>
              <w:spacing w:after="0"/>
              <w:rPr>
                <w:sz w:val="19"/>
                <w:szCs w:val="19"/>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11,721</w:t>
            </w:r>
          </w:p>
        </w:tc>
        <w:tc>
          <w:tcPr>
            <w:tcW w:w="8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3,086,407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11,881</w:t>
            </w:r>
          </w:p>
        </w:tc>
        <w:tc>
          <w:tcPr>
            <w:tcW w:w="8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12,932</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13,284</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53,955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48,897</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3,171,716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2,770,102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 (CONTINUED)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3" w:lineRule="exact"/>
        <w:rPr>
          <w:sz w:val="20"/>
          <w:szCs w:val="20"/>
          <w:color w:val="auto"/>
        </w:rPr>
      </w:pPr>
    </w:p>
    <w:p>
      <w:pPr>
        <w:ind w:left="500" w:hanging="188"/>
        <w:spacing w:after="0" w:line="255" w:lineRule="auto"/>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 authorized, 1,317,840,464 shares issued and 890,843,639 shares outstanding as of December 31, 2023; 1,317,840,464 shares issued and 750,061,822 shares outstanding as of September 30,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500" w:right="60" w:hanging="188"/>
        <w:spacing w:after="0" w:line="255" w:lineRule="auto"/>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 326,509,555 and 326,509,555 shares issued and outstanding as of December 31, 2023 and September 30, 2024, respectively)</w:t>
      </w:r>
    </w:p>
    <w:p>
      <w:pPr>
        <w:spacing w:after="0" w:line="2" w:lineRule="exact"/>
        <w:rPr>
          <w:sz w:val="20"/>
          <w:szCs w:val="20"/>
          <w:color w:val="auto"/>
        </w:rPr>
      </w:pPr>
    </w:p>
    <w:p>
      <w:pPr>
        <w:ind w:left="500" w:right="20" w:hanging="188"/>
        <w:spacing w:after="0" w:line="258" w:lineRule="auto"/>
        <w:rPr>
          <w:sz w:val="20"/>
          <w:szCs w:val="20"/>
          <w:color w:val="auto"/>
        </w:rPr>
      </w:pPr>
      <w:r>
        <w:rPr>
          <w:rFonts w:ascii="Times New Roman" w:cs="Times New Roman" w:eastAsia="Times New Roman" w:hAnsi="Times New Roman"/>
          <w:sz w:val="18"/>
          <w:szCs w:val="18"/>
          <w:color w:val="auto"/>
        </w:rPr>
        <w:t>Treasury shares (US$0.00001 par value; 426,996,825 and 567,778,642 shares held as of December 31, 2023 and September 30,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r>
      <w:tr>
        <w:trPr>
          <w:trHeight w:val="205"/>
        </w:trPr>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7"/>
                <w:szCs w:val="17"/>
                <w:color w:val="auto"/>
              </w:rPr>
            </w:pPr>
          </w:p>
        </w:tc>
      </w:tr>
      <w:tr>
        <w:trPr>
          <w:trHeight w:val="234"/>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22,133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23,333</w:t>
            </w:r>
          </w:p>
        </w:tc>
      </w:tr>
      <w:tr>
        <w:trPr>
          <w:trHeight w:val="891"/>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662"/>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441"/>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(913,939)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(1,157,649)</w:t>
            </w:r>
          </w:p>
        </w:tc>
      </w:tr>
      <w:tr>
        <w:trPr>
          <w:trHeight w:val="229"/>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3,282,754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3,340,387</w:t>
            </w:r>
          </w:p>
        </w:tc>
      </w:tr>
      <w:tr>
        <w:trPr>
          <w:trHeight w:val="230"/>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37,709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37,686</w:t>
            </w:r>
          </w:p>
        </w:tc>
      </w:tr>
      <w:tr>
        <w:trPr>
          <w:trHeight w:val="216"/>
        </w:trPr>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2,947,160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3,104,051</w:t>
            </w:r>
          </w:p>
        </w:tc>
      </w:tr>
      <w:tr>
        <w:trPr>
          <w:trHeight w:val="248"/>
        </w:trPr>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(197,010)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(167,269)</w:t>
            </w:r>
          </w:p>
        </w:tc>
      </w:tr>
    </w:tbl>
    <w:p>
      <w:pPr>
        <w:spacing w:after="0" w:line="1" w:lineRule="exact"/>
        <w:rPr>
          <w:sz w:val="20"/>
          <w:szCs w:val="20"/>
          <w:color w:val="auto"/>
        </w:rPr>
      </w:pPr>
    </w:p>
    <w:p>
      <w:pPr>
        <w:sectPr>
          <w:pgSz w:w="11900" w:h="16838" w:orient="portrait"/>
          <w:cols w:equalWidth="0" w:num="2">
            <w:col w:w="8120" w:space="440"/>
            <w:col w:w="268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5,156,686</w:t>
            </w:r>
          </w:p>
        </w:tc>
        <w:tc>
          <w:tcPr>
            <w:tcW w:w="22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5,157,217</w:t>
            </w:r>
          </w:p>
        </w:tc>
        <w:tc>
          <w:tcPr>
            <w:tcW w:w="80" w:type="dxa"/>
            <w:vAlign w:val="bottom"/>
          </w:tcPr>
          <w:p>
            <w:pPr>
              <w:spacing w:after="0"/>
              <w:rPr>
                <w:sz w:val="18"/>
                <w:szCs w:val="18"/>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5,290,016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5,286,708</w:t>
            </w:r>
          </w:p>
        </w:tc>
        <w:tc>
          <w:tcPr>
            <w:tcW w:w="80" w:type="dxa"/>
            <w:vAlign w:val="bottom"/>
          </w:tcPr>
          <w:p>
            <w:pPr>
              <w:spacing w:after="0"/>
              <w:rPr>
                <w:sz w:val="19"/>
                <w:szCs w:val="19"/>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8,080,143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61" w:lineRule="auto"/>
        <w:tabs>
          <w:tab w:leader="none" w:pos="2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JOYY has ceased consolidation of YY Live business since February 8, 2021 and classified and presented all the related assets and liabilities related to YY Live business on a net basis within prepayments and other current assets. The consideration received by the Company to date remains within cash and cash equivalents, restricted cash and cash equivalents, and short-term deposits. Correspondingly, the advanced payments received has been recorded as accrued liabilities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408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5"/>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ectPr>
          <w:pgSz w:w="11900" w:h="16838" w:orient="portrait"/>
          <w:cols w:equalWidth="0" w:num="1">
            <w:col w:w="11200"/>
          </w:cols>
          <w:pgMar w:left="320" w:top="900" w:right="379" w:bottom="1440" w:gutter="0" w:footer="0" w:header="0"/>
        </w:sectPr>
      </w:pPr>
    </w:p>
    <w:p>
      <w:pPr>
        <w:spacing w:after="0" w:line="210" w:lineRule="auto"/>
        <w:rPr>
          <w:sz w:val="20"/>
          <w:szCs w:val="20"/>
          <w:color w:val="auto"/>
        </w:rPr>
      </w:pPr>
      <w:r>
        <w:rPr>
          <w:rFonts w:ascii="Times New Roman" w:cs="Times New Roman" w:eastAsia="Times New Roman" w:hAnsi="Times New Roman"/>
          <w:sz w:val="18"/>
          <w:szCs w:val="18"/>
          <w:color w:val="auto"/>
        </w:rPr>
        <w:t>Live streaming</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1" w:lineRule="auto"/>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 w:lineRule="exact"/>
        <w:rPr>
          <w:sz w:val="20"/>
          <w:szCs w:val="20"/>
          <w:color w:val="auto"/>
        </w:rPr>
      </w:pPr>
    </w:p>
    <w:p>
      <w:pPr>
        <w:ind w:left="200" w:right="540" w:hanging="188"/>
        <w:spacing w:after="0" w:line="258" w:lineRule="auto"/>
        <w:rPr>
          <w:sz w:val="20"/>
          <w:szCs w:val="20"/>
          <w:color w:val="auto"/>
        </w:rPr>
      </w:pPr>
      <w:r>
        <w:rPr>
          <w:rFonts w:ascii="Times New Roman" w:cs="Times New Roman" w:eastAsia="Times New Roman" w:hAnsi="Times New Roman"/>
          <w:sz w:val="18"/>
          <w:szCs w:val="18"/>
          <w:color w:val="auto"/>
        </w:rPr>
        <w:t>(Loss) gain on deconsolidation and disposal of subsidiaries</w:t>
      </w: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Interest income and investment income Foreign currency exchange (losses) gains, net (Loss) gain on disposal and deemed disposal of</w:t>
      </w:r>
    </w:p>
    <w:p>
      <w:pPr>
        <w:ind w:left="200"/>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3" w:lineRule="exact"/>
        <w:rPr>
          <w:sz w:val="20"/>
          <w:szCs w:val="20"/>
          <w:color w:val="auto"/>
        </w:rPr>
      </w:pPr>
    </w:p>
    <w:p>
      <w:pPr>
        <w:ind w:left="200" w:right="200" w:hanging="188"/>
        <w:spacing w:after="0" w:line="258" w:lineRule="auto"/>
        <w:rPr>
          <w:sz w:val="20"/>
          <w:szCs w:val="20"/>
          <w:color w:val="auto"/>
        </w:rPr>
      </w:pPr>
      <w:r>
        <w:rPr>
          <w:rFonts w:ascii="Times New Roman" w:cs="Times New Roman" w:eastAsia="Times New Roman" w:hAnsi="Times New Roman"/>
          <w:sz w:val="18"/>
          <w:szCs w:val="18"/>
          <w:b w:val="1"/>
          <w:bCs w:val="1"/>
          <w:color w:val="auto"/>
        </w:rPr>
        <w:t>Income before share of income in equity method investments, net of income taxes</w:t>
      </w:r>
    </w:p>
    <w:p>
      <w:pPr>
        <w:ind w:left="200" w:right="40" w:hanging="188"/>
        <w:spacing w:after="0" w:line="258" w:lineRule="auto"/>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3" w:lineRule="exact"/>
        <w:rPr>
          <w:sz w:val="20"/>
          <w:szCs w:val="20"/>
          <w:color w:val="auto"/>
        </w:rPr>
      </w:pPr>
    </w:p>
    <w:p>
      <w:pPr>
        <w:ind w:left="200" w:hanging="188"/>
        <w:spacing w:after="0" w:line="255" w:lineRule="auto"/>
        <w:rPr>
          <w:sz w:val="20"/>
          <w:szCs w:val="20"/>
          <w:color w:val="auto"/>
        </w:rPr>
      </w:pPr>
      <w:r>
        <w:rPr>
          <w:rFonts w:ascii="Times New Roman" w:cs="Times New Roman" w:eastAsia="Times New Roman" w:hAnsi="Times New Roman"/>
          <w:sz w:val="18"/>
          <w:szCs w:val="18"/>
          <w:color w:val="auto"/>
        </w:rPr>
        <w:t>Net loss attributable to the non-controlling interest shareholders and the mezzanine equity classified as non-controlling interest shareholders</w:t>
      </w:r>
    </w:p>
    <w:p>
      <w:pPr>
        <w:spacing w:after="0" w:line="2" w:lineRule="exact"/>
        <w:rPr>
          <w:sz w:val="20"/>
          <w:szCs w:val="20"/>
          <w:color w:val="auto"/>
        </w:rPr>
      </w:pPr>
    </w:p>
    <w:p>
      <w:pPr>
        <w:ind w:left="200" w:right="180" w:hanging="188"/>
        <w:spacing w:after="0" w:line="258" w:lineRule="auto"/>
        <w:rPr>
          <w:sz w:val="20"/>
          <w:szCs w:val="20"/>
          <w:color w:val="auto"/>
        </w:rPr>
      </w:pPr>
      <w:r>
        <w:rPr>
          <w:rFonts w:ascii="Times New Roman" w:cs="Times New Roman" w:eastAsia="Times New Roman" w:hAnsi="Times New Roman"/>
          <w:sz w:val="18"/>
          <w:szCs w:val="18"/>
          <w:b w:val="1"/>
          <w:bCs w:val="1"/>
          <w:color w:val="auto"/>
        </w:rPr>
        <w:t>Net income attributable to controlling interest of JOYY Inc.</w:t>
      </w:r>
    </w:p>
    <w:p>
      <w:pPr>
        <w:ind w:left="200" w:right="320" w:hanging="188"/>
        <w:spacing w:after="0" w:line="273" w:lineRule="auto"/>
        <w:rPr>
          <w:sz w:val="20"/>
          <w:szCs w:val="20"/>
          <w:color w:val="auto"/>
        </w:rPr>
      </w:pPr>
      <w:r>
        <w:rPr>
          <w:rFonts w:ascii="Times New Roman" w:cs="Times New Roman" w:eastAsia="Times New Roman" w:hAnsi="Times New Roman"/>
          <w:sz w:val="17"/>
          <w:szCs w:val="17"/>
          <w:color w:val="auto"/>
        </w:rPr>
        <w:t>Accretion of subsidiaries’ redeemable convertible preferred shares to redemption value</w:t>
      </w:r>
    </w:p>
    <w:p>
      <w:pPr>
        <w:spacing w:after="0" w:line="1" w:lineRule="exact"/>
        <w:rPr>
          <w:sz w:val="20"/>
          <w:szCs w:val="20"/>
          <w:color w:val="auto"/>
        </w:rPr>
      </w:pPr>
    </w:p>
    <w:p>
      <w:pPr>
        <w:ind w:left="200" w:right="600" w:hanging="188"/>
        <w:spacing w:after="0" w:line="258" w:lineRule="auto"/>
        <w:rPr>
          <w:sz w:val="20"/>
          <w:szCs w:val="20"/>
          <w:color w:val="auto"/>
        </w:rPr>
      </w:pPr>
      <w:r>
        <w:rPr>
          <w:rFonts w:ascii="Times New Roman" w:cs="Times New Roman" w:eastAsia="Times New Roman" w:hAnsi="Times New Roman"/>
          <w:sz w:val="18"/>
          <w:szCs w:val="18"/>
          <w:color w:val="auto"/>
        </w:rPr>
        <w:t>Cumulative dividend on subsidiary’s Series A Preferred Shares</w:t>
      </w:r>
    </w:p>
    <w:p>
      <w:pPr>
        <w:ind w:left="200" w:right="560" w:hanging="188"/>
        <w:spacing w:after="0" w:line="258" w:lineRule="auto"/>
        <w:rPr>
          <w:sz w:val="20"/>
          <w:szCs w:val="20"/>
          <w:color w:val="auto"/>
        </w:rPr>
      </w:pPr>
      <w:r>
        <w:rPr>
          <w:rFonts w:ascii="Times New Roman" w:cs="Times New Roman" w:eastAsia="Times New Roman" w:hAnsi="Times New Roman"/>
          <w:sz w:val="18"/>
          <w:szCs w:val="18"/>
          <w:color w:val="auto"/>
        </w:rPr>
        <w:t>Gain on repurchase of redeemable convertible preferred shares of a subsidiary</w:t>
      </w:r>
    </w:p>
    <w:p>
      <w:pPr>
        <w:ind w:left="200" w:right="140" w:hanging="188"/>
        <w:spacing w:after="0" w:line="276" w:lineRule="auto"/>
        <w:rPr>
          <w:sz w:val="20"/>
          <w:szCs w:val="20"/>
          <w:color w:val="auto"/>
        </w:rPr>
      </w:pPr>
      <w:r>
        <w:rPr>
          <w:rFonts w:ascii="Times New Roman" w:cs="Times New Roman" w:eastAsia="Times New Roman" w:hAnsi="Times New Roman"/>
          <w:sz w:val="18"/>
          <w:szCs w:val="18"/>
          <w:b w:val="1"/>
          <w:bCs w:val="1"/>
          <w:color w:val="auto"/>
        </w:rPr>
        <w:t>Net income attributable to common shareholders of JOYY Inc.</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495,801</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459,730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439,482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1,493,175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1,365,603</w:t>
            </w:r>
          </w:p>
        </w:tc>
        <w:tc>
          <w:tcPr>
            <w:tcW w:w="60" w:type="dxa"/>
            <w:vAlign w:val="bottom"/>
          </w:tcPr>
          <w:p>
            <w:pPr>
              <w:spacing w:after="0"/>
              <w:rPr>
                <w:sz w:val="19"/>
                <w:szCs w:val="19"/>
                <w:color w:val="auto"/>
              </w:rPr>
            </w:pPr>
          </w:p>
        </w:tc>
      </w:tr>
      <w:tr>
        <w:trPr>
          <w:trHeight w:val="229"/>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71,268</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105,398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119,172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204,856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322,739</w:t>
            </w:r>
          </w:p>
        </w:tc>
        <w:tc>
          <w:tcPr>
            <w:tcW w:w="60" w:type="dxa"/>
            <w:vAlign w:val="bottom"/>
          </w:tcPr>
          <w:p>
            <w:pPr>
              <w:spacing w:after="0"/>
              <w:rPr>
                <w:sz w:val="19"/>
                <w:szCs w:val="19"/>
                <w:color w:val="auto"/>
              </w:rPr>
            </w:pPr>
          </w:p>
        </w:tc>
      </w:tr>
      <w:tr>
        <w:trPr>
          <w:trHeight w:val="234"/>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567,069</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565,128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558,654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1,698,031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1,688,342</w:t>
            </w:r>
          </w:p>
        </w:tc>
        <w:tc>
          <w:tcPr>
            <w:tcW w:w="60" w:type="dxa"/>
            <w:vAlign w:val="bottom"/>
          </w:tcPr>
          <w:p>
            <w:pPr>
              <w:spacing w:after="0"/>
              <w:rPr>
                <w:sz w:val="20"/>
                <w:szCs w:val="20"/>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(357,914)</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(366,189)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(350,536)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(1,086,482)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(1,085,922)</w:t>
            </w:r>
          </w:p>
        </w:tc>
      </w:tr>
      <w:tr>
        <w:trPr>
          <w:trHeight w:val="234"/>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209,155</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198,939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208,118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611,549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602,420</w:t>
            </w:r>
          </w:p>
        </w:tc>
        <w:tc>
          <w:tcPr>
            <w:tcW w:w="60" w:type="dxa"/>
            <w:vAlign w:val="bottom"/>
          </w:tcPr>
          <w:p>
            <w:pPr>
              <w:spacing w:after="0"/>
              <w:rPr>
                <w:sz w:val="20"/>
                <w:szCs w:val="20"/>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1"/>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(71,608)</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(69,856)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(72,360)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(222,923)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(211,255)</w:t>
            </w:r>
          </w:p>
        </w:tc>
      </w:tr>
      <w:tr>
        <w:trPr>
          <w:trHeight w:val="230"/>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(92,515)</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(88,132)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(83,524)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(277,319)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(266,294)</w:t>
            </w:r>
          </w:p>
        </w:tc>
      </w:tr>
      <w:tr>
        <w:trPr>
          <w:trHeight w:val="229"/>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(27,139)</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(40,686)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(88,074)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(108,502)</w:t>
            </w:r>
          </w:p>
        </w:tc>
      </w:tr>
      <w:tr>
        <w:trPr>
          <w:trHeight w:val="248"/>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(191,262)</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(198,674)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(191,957)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(588,316)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(586,051)</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(6,177)</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60" w:type="dxa"/>
            <w:vAlign w:val="bottom"/>
          </w:tcPr>
          <w:p>
            <w:pPr>
              <w:spacing w:after="0"/>
              <w:rPr>
                <w:sz w:val="24"/>
                <w:szCs w:val="24"/>
                <w:color w:val="auto"/>
              </w:rPr>
            </w:pPr>
          </w:p>
        </w:tc>
      </w:tr>
      <w:tr>
        <w:trPr>
          <w:trHeight w:val="230"/>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333</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60" w:type="dxa"/>
            <w:vAlign w:val="bottom"/>
          </w:tcPr>
          <w:p>
            <w:pPr>
              <w:spacing w:after="0"/>
              <w:rPr>
                <w:sz w:val="19"/>
                <w:szCs w:val="19"/>
                <w:color w:val="auto"/>
              </w:rPr>
            </w:pPr>
          </w:p>
        </w:tc>
      </w:tr>
      <w:tr>
        <w:trPr>
          <w:trHeight w:val="234"/>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12,049</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16,416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05"/>
        </w:trPr>
        <w:tc>
          <w:tcPr>
            <w:tcW w:w="1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(2,139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(1,864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(8,305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(4,535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47,330</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46,702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41,067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138,067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136,696</w:t>
            </w:r>
          </w:p>
        </w:tc>
        <w:tc>
          <w:tcPr>
            <w:tcW w:w="60" w:type="dxa"/>
            <w:vAlign w:val="bottom"/>
          </w:tcPr>
          <w:p>
            <w:pPr>
              <w:spacing w:after="0"/>
              <w:rPr>
                <w:sz w:val="18"/>
                <w:szCs w:val="18"/>
                <w:color w:val="auto"/>
              </w:rPr>
            </w:pPr>
          </w:p>
        </w:tc>
      </w:tr>
      <w:tr>
        <w:trPr>
          <w:trHeight w:val="248"/>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(5,143)</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(8,849)</w:t>
            </w:r>
          </w:p>
        </w:tc>
      </w:tr>
      <w:tr>
        <w:trPr>
          <w:trHeight w:val="427"/>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(2,673)</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74,851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43"/>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7,112</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6,162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60" w:type="dxa"/>
            <w:vAlign w:val="bottom"/>
          </w:tcPr>
          <w:p>
            <w:pPr>
              <w:spacing w:after="0"/>
              <w:rPr>
                <w:sz w:val="21"/>
                <w:szCs w:val="21"/>
                <w:color w:val="auto"/>
              </w:rPr>
            </w:pPr>
          </w:p>
        </w:tc>
      </w:tr>
      <w:tr>
        <w:trPr>
          <w:trHeight w:val="234"/>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56,536</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47,613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55,487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240,046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155,187</w:t>
            </w:r>
          </w:p>
        </w:tc>
        <w:tc>
          <w:tcPr>
            <w:tcW w:w="60" w:type="dxa"/>
            <w:vAlign w:val="bottom"/>
          </w:tcPr>
          <w:p>
            <w:pPr>
              <w:spacing w:after="0"/>
              <w:rPr>
                <w:sz w:val="20"/>
                <w:szCs w:val="20"/>
                <w:color w:val="auto"/>
              </w:rPr>
            </w:pPr>
          </w:p>
        </w:tc>
      </w:tr>
      <w:tr>
        <w:trPr>
          <w:trHeight w:val="228"/>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7"/>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53,535</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44,985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49,208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223,505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141,743</w:t>
            </w:r>
          </w:p>
        </w:tc>
        <w:tc>
          <w:tcPr>
            <w:tcW w:w="6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11,545</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6,746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60" w:type="dxa"/>
            <w:vAlign w:val="bottom"/>
          </w:tcPr>
          <w:p>
            <w:pPr>
              <w:spacing w:after="0"/>
              <w:rPr>
                <w:sz w:val="24"/>
                <w:szCs w:val="24"/>
                <w:color w:val="auto"/>
              </w:rPr>
            </w:pPr>
          </w:p>
        </w:tc>
      </w:tr>
      <w:tr>
        <w:trPr>
          <w:trHeight w:val="234"/>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65,080</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47,790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55,954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232,329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143,899</w:t>
            </w:r>
          </w:p>
        </w:tc>
        <w:tc>
          <w:tcPr>
            <w:tcW w:w="60" w:type="dxa"/>
            <w:vAlign w:val="bottom"/>
          </w:tcPr>
          <w:p>
            <w:pPr>
              <w:spacing w:after="0"/>
              <w:rPr>
                <w:sz w:val="20"/>
                <w:szCs w:val="20"/>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7,812</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14,010</w:t>
            </w:r>
          </w:p>
        </w:tc>
      </w:tr>
      <w:tr>
        <w:trPr>
          <w:trHeight w:val="445"/>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72,892</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52,066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60,557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255,981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157,909</w:t>
            </w:r>
          </w:p>
        </w:tc>
        <w:tc>
          <w:tcPr>
            <w:tcW w:w="6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4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(1,566)</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446"/>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45"/>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52,583</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45"/>
        </w:trPr>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123,909</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60,210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301,866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156,868</w:t>
            </w:r>
          </w:p>
        </w:tc>
        <w:tc>
          <w:tcPr>
            <w:tcW w:w="6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-5648325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-5356860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-5039995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-4722495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-4431030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-4002405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-3710940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-3419475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-2990850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-2699385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-2271395</wp:posOffset>
            </wp:positionV>
            <wp:extent cx="71323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-1842770</wp:posOffset>
            </wp:positionV>
            <wp:extent cx="713232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-1139190</wp:posOffset>
            </wp:positionV>
            <wp:extent cx="7132320" cy="282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-574040</wp:posOffset>
            </wp:positionV>
            <wp:extent cx="7132320" cy="282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428625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900" w:space="180"/>
            <w:col w:w="7120"/>
          </w:cols>
          <w:pgMar w:left="320" w:top="900" w:right="37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08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w:t>
            </w: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calculating net income per ADS</w:t>
            </w: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Basic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62,266,339</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59,537,049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56,573,411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66,633,991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59,287,792</w:t>
            </w: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67,669,387</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64,101,951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57,220,581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75,061,963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62,803,046</w:t>
            </w:r>
          </w:p>
        </w:tc>
      </w:tr>
    </w:tbl>
    <w:p>
      <w:pPr>
        <w:spacing w:after="0" w:line="198"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 Revenues by geographical areas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countries and regions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 East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Mainland 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Southeast Asia and others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4"/>
        </w:trPr>
        <w:tc>
          <w:tcPr>
            <w:tcW w:w="12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8"/>
                <w:szCs w:val="18"/>
                <w:color w:val="auto"/>
              </w:rPr>
            </w:pPr>
          </w:p>
        </w:tc>
      </w:tr>
      <w:tr>
        <w:trPr>
          <w:trHeight w:val="23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205"/>
        </w:trPr>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7"/>
                <w:szCs w:val="17"/>
                <w:color w:val="auto"/>
              </w:rPr>
            </w:pPr>
          </w:p>
        </w:tc>
      </w:tr>
      <w:tr>
        <w:trPr>
          <w:trHeight w:val="229"/>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252,089</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306,099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306,633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701,872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903,768</w:t>
            </w:r>
          </w:p>
        </w:tc>
      </w:tr>
      <w:tr>
        <w:trPr>
          <w:trHeight w:val="229"/>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108,299</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75,530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338,257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240,140</w:t>
            </w:r>
          </w:p>
        </w:tc>
      </w:tr>
      <w:tr>
        <w:trPr>
          <w:trHeight w:val="230"/>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74,525</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62,604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180,357</w:t>
            </w:r>
          </w:p>
        </w:tc>
      </w:tr>
      <w:tr>
        <w:trPr>
          <w:trHeight w:val="234"/>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132,156</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120,895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378,963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364,077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-582295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-290830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280"/>
            <w:col w:w="7160"/>
          </w:cols>
          <w:pgMar w:left="320" w:top="927" w:right="339" w:bottom="1440" w:gutter="0" w:footer="0" w:header="0"/>
          <w:type w:val="continuous"/>
        </w:sectPr>
      </w:pPr>
    </w:p>
    <w:p>
      <w:pPr>
        <w:spacing w:after="0" w:line="25"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Note: Developed countries and region mainly included the United States of America, Great Britain, Japan, South Korea and Australia. Middle East mainly included Saudi Arabia and other countries located in the region. Southeast Asia and others mainly included Indonesia, Vietnam and rest of the world.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4"/>
        </w:trPr>
        <w:tc>
          <w:tcPr>
            <w:tcW w:w="4080" w:type="dxa"/>
            <w:vAlign w:val="bottom"/>
          </w:tcPr>
          <w:p>
            <w:pPr>
              <w:spacing w:after="0"/>
              <w:rPr>
                <w:sz w:val="18"/>
                <w:szCs w:val="18"/>
                <w:color w:val="auto"/>
              </w:rPr>
            </w:pPr>
          </w:p>
        </w:tc>
        <w:tc>
          <w:tcPr>
            <w:tcW w:w="12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4,108</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9,634</w:t>
            </w: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5,903</w:t>
            </w:r>
          </w:p>
        </w:tc>
      </w:tr>
      <w:tr>
        <w:trPr>
          <w:trHeight w:val="454"/>
        </w:trPr>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12,049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17,394</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15,890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deconsolidation and disposal of</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6,177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40,413</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29,953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102,600</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232,329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17,394</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15,890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deconsolidation and disposal of</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6,177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disposal and deemed disposal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2,673</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(4,070)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(10,521)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common shareholders of</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JOYY Inc.</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123,909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301,866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156,868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6,297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17,394</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15,890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deconsolidation and disposal of</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6,177</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disposal and deemed disposal of</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2,673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(74,851)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fair value change of investments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(7,112)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cumulative dividend and deemed dividend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subsidiaries’ preferred shareholders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1,566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repurchase of redeemable convertible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shares of a subsidiary</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(52,583)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(4,070)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(10,521)</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adjustments for net loss attributable to the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(1,311)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income attributable to controlling</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80" w:type="dxa"/>
            <w:vAlign w:val="bottom"/>
            <w:vMerge w:val="continue"/>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81,153</w:t>
            </w:r>
          </w:p>
        </w:tc>
        <w:tc>
          <w:tcPr>
            <w:tcW w:w="1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74,035</w:t>
            </w: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61,171</w:t>
            </w: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228,322</w:t>
            </w:r>
          </w:p>
        </w:tc>
        <w:tc>
          <w:tcPr>
            <w:tcW w:w="1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202,410</w:t>
            </w: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and common shareholders of JOYY Inc.</w:t>
            </w:r>
          </w:p>
        </w:tc>
        <w:tc>
          <w:tcPr>
            <w:tcW w:w="1480" w:type="dxa"/>
            <w:vAlign w:val="bottom"/>
            <w:gridSpan w:val="2"/>
            <w:vMerge w:val="continue"/>
            <w:shd w:val="clear" w:color="auto" w:fill="CCEEFF"/>
          </w:tcPr>
          <w:p>
            <w:pPr>
              <w:spacing w:after="0"/>
              <w:rPr>
                <w:sz w:val="21"/>
                <w:szCs w:val="21"/>
                <w:color w:val="auto"/>
              </w:rPr>
            </w:pPr>
          </w:p>
        </w:tc>
        <w:tc>
          <w:tcPr>
            <w:tcW w:w="1460" w:type="dxa"/>
            <w:vAlign w:val="bottom"/>
            <w:gridSpan w:val="2"/>
            <w:vMerge w:val="continue"/>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calculating Non-GAAP net income per ADS</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62,266,339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59,537,049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56,573,411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66,633,991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59,287,792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67,669,387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64,101,951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57,220,581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75,061,963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62,803,046</w:t>
            </w:r>
          </w:p>
        </w:tc>
        <w:tc>
          <w:tcPr>
            <w:tcW w:w="0" w:type="dxa"/>
            <w:vAlign w:val="bottom"/>
          </w:tcPr>
          <w:p>
            <w:pPr>
              <w:spacing w:after="0"/>
              <w:rPr>
                <w:sz w:val="1"/>
                <w:szCs w:val="1"/>
                <w:color w:val="auto"/>
              </w:rPr>
            </w:pPr>
          </w:p>
        </w:tc>
      </w:tr>
      <w:tr>
        <w:trPr>
          <w:trHeight w:val="432"/>
        </w:trPr>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149"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1" w:lineRule="auto"/>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losses,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7" w:lineRule="exact"/>
        <w:rPr>
          <w:sz w:val="20"/>
          <w:szCs w:val="20"/>
          <w:color w:val="auto"/>
        </w:rPr>
      </w:pPr>
    </w:p>
    <w:p>
      <w:pPr>
        <w:ind w:left="180" w:hanging="161"/>
        <w:spacing w:after="0" w:line="260" w:lineRule="auto"/>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 income taxes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tcBorders>
              <w:top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tcBorders>
              <w:top w:val="single" w:sz="8" w:color="auto"/>
            </w:tcBorders>
            <w:gridSpan w:val="2"/>
          </w:tcPr>
          <w:p>
            <w:pPr>
              <w:jc w:val="right"/>
              <w:ind w:right="161"/>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3"/>
          </w:tcPr>
          <w:p>
            <w:pPr>
              <w:spacing w:after="0"/>
              <w:rPr>
                <w:sz w:val="21"/>
                <w:szCs w:val="21"/>
                <w:color w:val="auto"/>
              </w:rPr>
            </w:pPr>
          </w:p>
        </w:tc>
      </w:tr>
      <w:tr>
        <w:trPr>
          <w:trHeight w:val="228"/>
        </w:trPr>
        <w:tc>
          <w:tcPr>
            <w:tcW w:w="12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gridSpan w:val="3"/>
          </w:tcPr>
          <w:p>
            <w:pPr>
              <w:spacing w:after="0"/>
              <w:rPr>
                <w:sz w:val="19"/>
                <w:szCs w:val="19"/>
                <w:color w:val="auto"/>
              </w:rPr>
            </w:pPr>
          </w:p>
        </w:tc>
      </w:tr>
      <w:tr>
        <w:trPr>
          <w:trHeight w:val="422"/>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417,762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21,720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439,482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78,247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41,317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119,172</w:t>
            </w:r>
          </w:p>
        </w:tc>
        <w:tc>
          <w:tcPr>
            <w:tcW w:w="20" w:type="dxa"/>
            <w:vAlign w:val="bottom"/>
          </w:tcPr>
          <w:p>
            <w:pPr>
              <w:spacing w:after="0"/>
              <w:rPr>
                <w:sz w:val="21"/>
                <w:szCs w:val="21"/>
                <w:color w:val="auto"/>
              </w:rPr>
            </w:pP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496,009</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63,037</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558,654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(312,561)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(350,536)</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183,448</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208,118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61"/>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(44,884)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(27,702)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(72,360)</w:t>
            </w:r>
          </w:p>
        </w:tc>
      </w:tr>
      <w:tr>
        <w:trPr>
          <w:trHeight w:val="229"/>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(61,582)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(21,968)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(83,524)</w:t>
            </w:r>
          </w:p>
        </w:tc>
      </w:tr>
      <w:tr>
        <w:trPr>
          <w:trHeight w:val="248"/>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(14,249)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(21,889)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(36,073)</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(191,957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91"/>
        </w:trPr>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62,739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(46,323)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16,416</w:t>
            </w:r>
          </w:p>
        </w:tc>
        <w:tc>
          <w:tcPr>
            <w:tcW w:w="20" w:type="dxa"/>
            <w:vAlign w:val="bottom"/>
          </w:tcPr>
          <w:p>
            <w:pPr>
              <w:spacing w:after="0"/>
              <w:rPr>
                <w:sz w:val="21"/>
                <w:szCs w:val="21"/>
                <w:color w:val="auto"/>
              </w:rPr>
            </w:pP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917</w:t>
            </w:r>
          </w:p>
        </w:tc>
        <w:tc>
          <w:tcPr>
            <w:tcW w:w="22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1"/>
              <w:spacing w:after="0" w:line="191" w:lineRule="exact"/>
              <w:rPr>
                <w:sz w:val="20"/>
                <w:szCs w:val="20"/>
                <w:color w:val="auto"/>
              </w:rPr>
            </w:pPr>
            <w:r>
              <w:rPr>
                <w:rFonts w:ascii="Times New Roman" w:cs="Times New Roman" w:eastAsia="Times New Roman" w:hAnsi="Times New Roman"/>
                <w:sz w:val="18"/>
                <w:szCs w:val="18"/>
                <w:color w:val="auto"/>
              </w:rPr>
              <w:t>(535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30"/>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13,107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28,877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(917)</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41,067</w:t>
            </w:r>
          </w:p>
        </w:tc>
        <w:tc>
          <w:tcPr>
            <w:tcW w:w="20" w:type="dxa"/>
            <w:vAlign w:val="bottom"/>
          </w:tcPr>
          <w:p>
            <w:pPr>
              <w:spacing w:after="0"/>
              <w:rPr>
                <w:sz w:val="19"/>
                <w:szCs w:val="19"/>
                <w:color w:val="auto"/>
              </w:rPr>
            </w:pPr>
          </w:p>
        </w:tc>
      </w:tr>
      <w:tr>
        <w:trPr>
          <w:trHeight w:val="243"/>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(10,290)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34"/>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5,466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55,487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(6,279)</w:t>
            </w:r>
          </w:p>
        </w:tc>
        <w:tc>
          <w:tcPr>
            <w:tcW w:w="20" w:type="dxa"/>
            <w:vAlign w:val="bottom"/>
          </w:tcPr>
          <w:p>
            <w:pPr>
              <w:spacing w:after="0"/>
              <w:rPr>
                <w:sz w:val="19"/>
                <w:szCs w:val="19"/>
                <w:color w:val="auto"/>
              </w:rPr>
            </w:pPr>
          </w:p>
        </w:tc>
      </w:tr>
      <w:tr>
        <w:trPr>
          <w:trHeight w:val="425"/>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63,279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(14,071)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49,208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-3101340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-2809875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-2518410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-2200910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-1884045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-1592580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-1301115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-1009650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-718185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-426720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5140" w:space="380"/>
            <w:col w:w="57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80" w:type="dxa"/>
            <w:vAlign w:val="bottom"/>
            <w:tcBorders>
              <w:top w:val="single" w:sz="8" w:color="CCEEFF"/>
            </w:tcBorders>
            <w:shd w:val="clear" w:color="auto" w:fill="CCEEFF"/>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(7,325)</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3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3" w:lineRule="exact"/>
        <w:rPr>
          <w:sz w:val="20"/>
          <w:szCs w:val="20"/>
          <w:color w:val="auto"/>
        </w:rPr>
      </w:pPr>
    </w:p>
    <w:tbl>
      <w:tblPr>
        <w:tblLayout w:type="fixed"/>
        <w:tblInd w:w="6980" w:type="dxa"/>
        <w:tblCellMar>
          <w:top w:w="0" w:type="dxa"/>
          <w:left w:w="0" w:type="dxa"/>
          <w:bottom w:w="0" w:type="dxa"/>
          <w:right w:w="0" w:type="dxa"/>
        </w:tblCellMar>
      </w:tblPr>
      <w:tr>
        <w:trPr>
          <w:trHeight w:val="223"/>
        </w:trPr>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1"/>
        </w:trPr>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(261)</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1,571</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(186)</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-290830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7120" w:space="720"/>
            <w:col w:w="3360"/>
          </w:cols>
          <w:pgMar w:left="320" w:top="904" w:right="379" w:bottom="1440" w:gutter="0" w:footer="0" w:header="0"/>
          <w:type w:val="continuous"/>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 OF UNAUDITED SEGMENT REPORT</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ind w:right="1920"/>
        <w:spacing w:after="0" w:line="286" w:lineRule="auto"/>
        <w:rPr>
          <w:sz w:val="20"/>
          <w:szCs w:val="20"/>
          <w:color w:val="auto"/>
        </w:rPr>
      </w:pPr>
      <w:r>
        <w:rPr>
          <w:rFonts w:ascii="Times New Roman" w:cs="Times New Roman" w:eastAsia="Times New Roman" w:hAnsi="Times New Roman"/>
          <w:sz w:val="18"/>
          <w:szCs w:val="18"/>
          <w:color w:val="auto"/>
        </w:rPr>
        <w:t xml:space="preserve">Amortization of intangible assets from business acquisitions </w:t>
      </w:r>
      <w:r>
        <w:rPr>
          <w:rFonts w:ascii="Times New Roman" w:cs="Times New Roman" w:eastAsia="Times New Roman" w:hAnsi="Times New Roman"/>
          <w:sz w:val="18"/>
          <w:szCs w:val="18"/>
          <w:b w:val="1"/>
          <w:bCs w:val="1"/>
          <w:color w:val="auto"/>
        </w:rPr>
        <w:t>Non-GAAP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Reconciling items on the share of equity method investments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62,739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(46,323)</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63,279</w:t>
            </w:r>
          </w:p>
        </w:tc>
        <w:tc>
          <w:tcPr>
            <w:tcW w:w="220" w:type="dxa"/>
            <w:vAlign w:val="bottom"/>
            <w:vMerge w:val="continue"/>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(7,325</w:t>
            </w:r>
          </w:p>
        </w:tc>
        <w:tc>
          <w:tcPr>
            <w:tcW w:w="220" w:type="dxa"/>
            <w:vAlign w:val="bottom"/>
            <w:vMerge w:val="continue"/>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55,954</w:t>
            </w:r>
          </w:p>
        </w:tc>
        <w:tc>
          <w:tcPr>
            <w:tcW w:w="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(3,815)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(6,167)</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57,387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260" w:space="720"/>
            <w:col w:w="4220"/>
          </w:cols>
          <w:pgMar w:left="320" w:top="900" w:right="37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1" w:lineRule="auto"/>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disposal of subsidiary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gains,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3"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 income taxes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tcBorders>
              <w:top w:val="single" w:sz="8" w:color="auto"/>
            </w:tcBorders>
            <w:gridSpan w:val="2"/>
          </w:tcPr>
          <w:p>
            <w:pPr>
              <w:jc w:val="right"/>
              <w:ind w:right="201"/>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3"/>
          </w:tcPr>
          <w:p>
            <w:pPr>
              <w:spacing w:after="0"/>
              <w:rPr>
                <w:sz w:val="21"/>
                <w:szCs w:val="21"/>
                <w:color w:val="auto"/>
              </w:rPr>
            </w:pPr>
          </w:p>
        </w:tc>
      </w:tr>
      <w:tr>
        <w:trPr>
          <w:trHeight w:val="228"/>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gridSpan w:val="3"/>
          </w:tcPr>
          <w:p>
            <w:pPr>
              <w:spacing w:after="0"/>
              <w:rPr>
                <w:sz w:val="19"/>
                <w:szCs w:val="19"/>
                <w:color w:val="auto"/>
              </w:rPr>
            </w:pPr>
          </w:p>
        </w:tc>
      </w:tr>
      <w:tr>
        <w:trPr>
          <w:trHeight w:val="422"/>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439,394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20,336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67,760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38,024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507,154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565,128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(327,735)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(38,530)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(366,189)</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179,419</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198,939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1"/>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(42,715)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(27,370)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(69,856)</w:t>
            </w:r>
          </w:p>
        </w:tc>
      </w:tr>
      <w:tr>
        <w:trPr>
          <w:trHeight w:val="23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(66,720)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(21,435)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(88,132)</w:t>
            </w:r>
          </w:p>
        </w:tc>
      </w:tr>
      <w:tr>
        <w:trPr>
          <w:trHeight w:val="248"/>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(12,180)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(28,564)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(40,686)</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(198,674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5"/>
        </w:trPr>
        <w:tc>
          <w:tcPr>
            <w:tcW w:w="12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8"/>
                <w:szCs w:val="18"/>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57,981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(55,712)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(1,475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(1,864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43"/>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15,256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(1,011)</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46,702</w:t>
            </w:r>
          </w:p>
        </w:tc>
        <w:tc>
          <w:tcPr>
            <w:tcW w:w="20" w:type="dxa"/>
            <w:vAlign w:val="bottom"/>
          </w:tcPr>
          <w:p>
            <w:pPr>
              <w:spacing w:after="0"/>
              <w:rPr>
                <w:sz w:val="21"/>
                <w:szCs w:val="21"/>
                <w:color w:val="auto"/>
              </w:rPr>
            </w:pPr>
          </w:p>
        </w:tc>
      </w:tr>
      <w:tr>
        <w:trPr>
          <w:trHeight w:val="216"/>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(2,610)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0"/>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70,157</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47,613</w:t>
            </w:r>
          </w:p>
        </w:tc>
        <w:tc>
          <w:tcPr>
            <w:tcW w:w="20" w:type="dxa"/>
            <w:vAlign w:val="bottom"/>
          </w:tcPr>
          <w:p>
            <w:pPr>
              <w:spacing w:after="0"/>
              <w:rPr>
                <w:sz w:val="18"/>
                <w:szCs w:val="18"/>
                <w:color w:val="auto"/>
              </w:rPr>
            </w:pP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27"/>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64,582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44,985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-3248025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-2956560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-2665730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-2348230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-2031365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-1739265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-1447800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-1156970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-865505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-574040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-282575</wp:posOffset>
            </wp:positionV>
            <wp:extent cx="7132320" cy="283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5140" w:space="380"/>
            <w:col w:w="57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2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2,805</w:t>
            </w:r>
          </w:p>
        </w:tc>
        <w:tc>
          <w:tcPr>
            <w:tcW w:w="220" w:type="dxa"/>
            <w:vAlign w:val="bottom"/>
          </w:tcPr>
          <w:p>
            <w:pPr>
              <w:spacing w:after="0"/>
              <w:rPr>
                <w:sz w:val="16"/>
                <w:szCs w:val="16"/>
                <w:color w:val="auto"/>
              </w:rPr>
            </w:pPr>
          </w:p>
        </w:tc>
        <w:tc>
          <w:tcPr>
            <w:tcW w:w="12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6"/>
                <w:szCs w:val="16"/>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64,582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(16,792)</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47,790</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BIGO</w:t>
            </w:r>
          </w:p>
        </w:tc>
        <w:tc>
          <w:tcPr>
            <w:tcW w:w="32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3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2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2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w:t>
            </w:r>
          </w:p>
        </w:tc>
      </w:tr>
      <w:tr>
        <w:trPr>
          <w:trHeight w:val="670"/>
        </w:trPr>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 OF UNAUDITED SEGMENT REPORT</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disposal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disposal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(gain) on fair value change of investments</w:t>
      </w:r>
    </w:p>
    <w:p>
      <w:pPr>
        <w:spacing w:after="0" w:line="23"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 Income tax effects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1860"/>
        <w:spacing w:after="0" w:line="292" w:lineRule="auto"/>
        <w:rPr>
          <w:sz w:val="20"/>
          <w:szCs w:val="20"/>
          <w:color w:val="auto"/>
        </w:rPr>
      </w:pPr>
      <w:r>
        <w:rPr>
          <w:rFonts w:ascii="Times New Roman" w:cs="Times New Roman" w:eastAsia="Times New Roman" w:hAnsi="Times New Roman"/>
          <w:sz w:val="18"/>
          <w:szCs w:val="18"/>
          <w:color w:val="auto"/>
        </w:rPr>
        <w:t xml:space="preserve">Reconciling items on the share of equity method investments </w:t>
      </w:r>
      <w:r>
        <w:rPr>
          <w:rFonts w:ascii="Times New Roman" w:cs="Times New Roman" w:eastAsia="Times New Roman" w:hAnsi="Times New Roman"/>
          <w:sz w:val="18"/>
          <w:szCs w:val="18"/>
          <w:b w:val="1"/>
          <w:bCs w:val="1"/>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57,981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(55,712)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69,373</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64,582</w:t>
            </w:r>
          </w:p>
        </w:tc>
        <w:tc>
          <w:tcPr>
            <w:tcW w:w="220" w:type="dxa"/>
            <w:vAlign w:val="bottom"/>
            <w:vMerge w:val="continue"/>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(16,792</w:t>
            </w:r>
          </w:p>
        </w:tc>
        <w:tc>
          <w:tcPr>
            <w:tcW w:w="220" w:type="dxa"/>
            <w:vAlign w:val="bottom"/>
            <w:vMerge w:val="continue"/>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47,790</w:t>
            </w:r>
          </w:p>
        </w:tc>
        <w:tc>
          <w:tcPr>
            <w:tcW w:w="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43"/>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(3,700)</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70,708</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260" w:space="720"/>
            <w:col w:w="4220"/>
          </w:cols>
          <w:pgMar w:left="320" w:top="900" w:right="3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1" w:lineRule="auto"/>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investment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losses,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(expenses) benefits</w:t>
      </w:r>
    </w:p>
    <w:p>
      <w:pPr>
        <w:spacing w:after="0" w:line="23"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 income taxes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0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tcBorders>
              <w:top w:val="single" w:sz="8" w:color="auto"/>
            </w:tcBorders>
            <w:gridSpan w:val="2"/>
          </w:tcPr>
          <w:p>
            <w:pPr>
              <w:jc w:val="right"/>
              <w:ind w:right="201"/>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3"/>
          </w:tcPr>
          <w:p>
            <w:pPr>
              <w:spacing w:after="0"/>
              <w:rPr>
                <w:sz w:val="21"/>
                <w:szCs w:val="21"/>
                <w:color w:val="auto"/>
              </w:rPr>
            </w:pPr>
          </w:p>
        </w:tc>
      </w:tr>
      <w:tr>
        <w:trPr>
          <w:trHeight w:val="228"/>
        </w:trPr>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gridSpan w:val="3"/>
          </w:tcPr>
          <w:p>
            <w:pPr>
              <w:spacing w:after="0"/>
              <w:rPr>
                <w:sz w:val="19"/>
                <w:szCs w:val="19"/>
                <w:color w:val="auto"/>
              </w:rPr>
            </w:pPr>
          </w:p>
        </w:tc>
      </w:tr>
      <w:tr>
        <w:trPr>
          <w:trHeight w:val="422"/>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468,577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27,224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495,801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25,486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46,241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71,268</w:t>
            </w:r>
          </w:p>
        </w:tc>
        <w:tc>
          <w:tcPr>
            <w:tcW w:w="20" w:type="dxa"/>
            <w:vAlign w:val="bottom"/>
          </w:tcPr>
          <w:p>
            <w:pPr>
              <w:spacing w:after="0"/>
              <w:rPr>
                <w:sz w:val="21"/>
                <w:szCs w:val="21"/>
                <w:color w:val="auto"/>
              </w:rPr>
            </w:pP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494,063</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73,465</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567,069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(299,231)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(58,785)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(357,914)</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194,832</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209,155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1"/>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(39,684)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(32,191)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(71,608)</w:t>
            </w:r>
          </w:p>
        </w:tc>
      </w:tr>
      <w:tr>
        <w:trPr>
          <w:trHeight w:val="23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(75,715)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(16,828)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(92,515)</w:t>
            </w:r>
          </w:p>
        </w:tc>
      </w:tr>
      <w:tr>
        <w:trPr>
          <w:trHeight w:val="248"/>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(11,297)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(15,904)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(27,139)</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(191,262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91"/>
        </w:trPr>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(6,177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(6,177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9"/>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r>
      <w:tr>
        <w:trPr>
          <w:trHeight w:val="248"/>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68,509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(56,460)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12,049</w:t>
            </w:r>
          </w:p>
        </w:tc>
        <w:tc>
          <w:tcPr>
            <w:tcW w:w="20" w:type="dxa"/>
            <w:vAlign w:val="bottom"/>
          </w:tcPr>
          <w:p>
            <w:pPr>
              <w:spacing w:after="0"/>
              <w:rPr>
                <w:sz w:val="21"/>
                <w:szCs w:val="21"/>
                <w:color w:val="auto"/>
              </w:rPr>
            </w:pPr>
          </w:p>
        </w:tc>
      </w:tr>
      <w:tr>
        <w:trPr>
          <w:trHeight w:val="191"/>
        </w:trPr>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(1,768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1,296</w:t>
            </w:r>
          </w:p>
        </w:tc>
        <w:tc>
          <w:tcPr>
            <w:tcW w:w="220" w:type="dxa"/>
            <w:vAlign w:val="bottom"/>
          </w:tcPr>
          <w:p>
            <w:pPr>
              <w:spacing w:after="0"/>
              <w:rPr>
                <w:sz w:val="16"/>
                <w:szCs w:val="16"/>
                <w:color w:val="auto"/>
              </w:rPr>
            </w:pPr>
          </w:p>
        </w:tc>
        <w:tc>
          <w:tcPr>
            <w:tcW w:w="126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(2,139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9"/>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11,158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37,468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(1,296)</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47,330</w:t>
            </w:r>
          </w:p>
        </w:tc>
        <w:tc>
          <w:tcPr>
            <w:tcW w:w="20" w:type="dxa"/>
            <w:vAlign w:val="bottom"/>
          </w:tcPr>
          <w:p>
            <w:pPr>
              <w:spacing w:after="0"/>
              <w:rPr>
                <w:sz w:val="19"/>
                <w:szCs w:val="19"/>
                <w:color w:val="auto"/>
              </w:rPr>
            </w:pPr>
          </w:p>
        </w:tc>
      </w:tr>
      <w:tr>
        <w:trPr>
          <w:trHeight w:val="230"/>
        </w:trPr>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(4,349)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43"/>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(2,673)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34"/>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6,800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7,112</w:t>
            </w:r>
          </w:p>
        </w:tc>
        <w:tc>
          <w:tcPr>
            <w:tcW w:w="20" w:type="dxa"/>
            <w:vAlign w:val="bottom"/>
          </w:tcPr>
          <w:p>
            <w:pPr>
              <w:spacing w:after="0"/>
              <w:rPr>
                <w:sz w:val="20"/>
                <w:szCs w:val="20"/>
                <w:color w:val="auto"/>
              </w:rPr>
            </w:pPr>
          </w:p>
        </w:tc>
      </w:tr>
      <w:tr>
        <w:trPr>
          <w:trHeight w:val="210"/>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73,862</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56,536</w:t>
            </w:r>
          </w:p>
        </w:tc>
        <w:tc>
          <w:tcPr>
            <w:tcW w:w="20" w:type="dxa"/>
            <w:vAlign w:val="bottom"/>
          </w:tcPr>
          <w:p>
            <w:pPr>
              <w:spacing w:after="0"/>
              <w:rPr>
                <w:sz w:val="18"/>
                <w:szCs w:val="18"/>
                <w:color w:val="auto"/>
              </w:rPr>
            </w:pP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25"/>
        </w:trPr>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70,236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(16,701)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53,535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-3392805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-3101340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-2809875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-2492375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-2175510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-1884045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-1592580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-1301115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-1009650</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-718185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-426720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40" w:space="380"/>
            <w:col w:w="57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552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2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11,545</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right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11,545</w:t>
            </w: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70,236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(5,156)</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65,080</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BIGO</w:t>
            </w:r>
          </w:p>
        </w:tc>
        <w:tc>
          <w:tcPr>
            <w:tcW w:w="3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3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w:t>
            </w:r>
          </w:p>
        </w:tc>
      </w:tr>
      <w:tr>
        <w:trPr>
          <w:trHeight w:val="22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r>
      <w:tr>
        <w:trPr>
          <w:trHeight w:val="670"/>
        </w:trPr>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68,509</w:t>
            </w:r>
          </w:p>
        </w:tc>
        <w:tc>
          <w:tcPr>
            <w:tcW w:w="160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(56,460)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2,215</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4,082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11,225</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6,177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70,236</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(5,156)</w:t>
            </w:r>
          </w:p>
        </w:tc>
        <w:tc>
          <w:tcPr>
            <w:tcW w:w="220" w:type="dxa"/>
            <w:vAlign w:val="bottom"/>
            <w:vMerge w:val="continue"/>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65,080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2,215</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4,082</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11,225</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4,665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and deemed disposal of investments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2,673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(6,800)</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related to the convertible bonds’ amortization to face value</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60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(2,655)</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(10,521)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(10,521)</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7"/>
      <w:numFmt w:val="bullet"/>
      <w:start w:val="1"/>
    </w:lvl>
  </w:abstractNum>
  <w:abstractNum w:abstractNumId="9">
    <w:nsid w:val="3352255A"/>
    <w:multiLevelType w:val="hybridMultilevel"/>
    <w:lvl w:ilvl="0">
      <w:lvlJc w:val="left"/>
      <w:lvlText w:val="8"/>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
    </w:lvl>
    <w:lvl w:ilvl="1">
      <w:lvlJc w:val="left"/>
      <w:lvlText w:val="%2"/>
      <w:numFmt w:val="upp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2024-11-27T06:13:17Z</dcterms:created>
  <dcterms:modified xsi:type="dcterms:W3CDTF">2024-11-27T06:13:17Z</dcterms:modified>
</cp:coreProperties>
</file>