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right"/>
        <w:ind w:right="1039"/>
        <w:spacing w:after="0" w:line="207" w:lineRule="exact"/>
        <w:tabs>
          <w:tab w:leader="none" w:pos="9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6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34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Exhibit 99.1</w:t>
            </w:r>
          </w:p>
        </w:tc>
        <w:tc>
          <w:tcPr>
            <w:tcW w:w="1034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Exhibit 99.2</w:t>
            </w:r>
          </w:p>
        </w:tc>
        <w:tc>
          <w:tcPr>
            <w:tcW w:w="1034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0000EE"/>
              </w:rPr>
              <w:t>JOYY Inc. Second Amended and Restated 2011 Share Incentive Plan</w:t>
            </w:r>
          </w:p>
        </w:tc>
      </w:tr>
      <w:tr>
        <w:trPr>
          <w:trHeight w:val="695"/>
        </w:trPr>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20" w:type="dxa"/>
            <w:vAlign w:val="bottom"/>
            <w:tcBorders>
              <w:top w:val="single" w:sz="8" w:color="0000EE"/>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Ting 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Reports Fourth Quarter and Full Year 2025 Unaudited Financial Results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Singapore, March 11, 2026 (GLOBE NEWSWIRE) -- JOYY Inc. (NASDAQ: JOYY) (“JOYY” or the “Company”), a global technology company, today announced its unaudited financial results for the fourth quarter and full year of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40" w:right="440" w:hanging="332"/>
        <w:spacing w:after="0" w:line="263"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US$581.9 million, an increase of 5.9% from US$549.4 million in the corresponding period of 2024 and 7.7% from US$540.2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third quarter of 2025.</w:t>
      </w:r>
    </w:p>
    <w:p>
      <w:pPr>
        <w:ind w:left="920" w:right="4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Live streaming revenues</w:t>
      </w:r>
      <w:r>
        <w:rPr>
          <w:rFonts w:ascii="Times New Roman" w:cs="Times New Roman" w:eastAsia="Times New Roman" w:hAnsi="Times New Roman"/>
          <w:sz w:val="18"/>
          <w:szCs w:val="18"/>
          <w:color w:val="auto"/>
        </w:rPr>
        <w:t xml:space="preserve"> were US$394.4 million, compared with US$422.4 million in the corresponding period of 2024, representing an increase of 1.5% from US$388.5 million in the third quarter of 2025.</w:t>
      </w:r>
    </w:p>
    <w:p>
      <w:pPr>
        <w:spacing w:after="0" w:line="1" w:lineRule="exact"/>
        <w:rPr>
          <w:sz w:val="20"/>
          <w:szCs w:val="20"/>
          <w:color w:val="auto"/>
        </w:rPr>
      </w:pPr>
    </w:p>
    <w:p>
      <w:pPr>
        <w:ind w:left="920" w:right="340" w:hanging="332"/>
        <w:spacing w:after="0" w:line="182" w:lineRule="auto"/>
        <w:tabs>
          <w:tab w:leader="none" w:pos="920" w:val="left"/>
        </w:tabs>
        <w:numPr>
          <w:ilvl w:val="1"/>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Advertising revenues</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by 62.4% to US$145.4 million from US$89.6 million in the corresponding period of 2024 and by 29.3%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US$112.5 million in the third quarter of 2025.</w:t>
      </w:r>
    </w:p>
    <w:p>
      <w:pPr>
        <w:spacing w:after="0" w:line="1" w:lineRule="exact"/>
        <w:rPr>
          <w:rFonts w:ascii="Times New Roman" w:cs="Times New Roman" w:eastAsia="Times New Roman" w:hAnsi="Times New Roman"/>
          <w:sz w:val="36"/>
          <w:szCs w:val="36"/>
          <w:color w:val="auto"/>
          <w:vertAlign w:val="superscript"/>
        </w:rPr>
      </w:pPr>
    </w:p>
    <w:p>
      <w:pPr>
        <w:ind w:left="920" w:right="640" w:hanging="332"/>
        <w:spacing w:after="0" w:line="250" w:lineRule="auto"/>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revenues </w:t>
      </w:r>
      <w:r>
        <w:rPr>
          <w:rFonts w:ascii="Times New Roman" w:cs="Times New Roman" w:eastAsia="Times New Roman" w:hAnsi="Times New Roman"/>
          <w:sz w:val="18"/>
          <w:szCs w:val="18"/>
          <w:color w:val="auto"/>
        </w:rPr>
        <w:t>increased by 12.3% to US$42.1 million from US$37.5 million in the corresponding period of 2024 and by 7.2%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US$39.2 million in the third quarter of 2025.</w:t>
      </w:r>
    </w:p>
    <w:p>
      <w:pPr>
        <w:ind w:left="340" w:right="16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US$18.3 million, compared to operating loss of US$427.9 million in the corresponding period of 2024 and operating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US$19.6 million in the third quarter of 2025.</w:t>
      </w:r>
    </w:p>
    <w:p>
      <w:pPr>
        <w:ind w:left="340" w:right="220" w:hanging="332"/>
        <w:spacing w:after="0" w:line="182"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EBITDA</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US$50.6 million, compared with US$55.7 million in the corresponding period of 2024 and US$50.6 million in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w:t>
      </w:r>
    </w:p>
    <w:p>
      <w:pPr>
        <w:spacing w:after="0" w:line="1" w:lineRule="exact"/>
        <w:rPr>
          <w:rFonts w:ascii="Times New Roman" w:cs="Times New Roman" w:eastAsia="Times New Roman" w:hAnsi="Times New Roman"/>
          <w:sz w:val="36"/>
          <w:szCs w:val="36"/>
          <w:color w:val="auto"/>
          <w:vertAlign w:val="superscript"/>
        </w:rPr>
      </w:pPr>
    </w:p>
    <w:p>
      <w:pPr>
        <w:ind w:left="340" w:right="320" w:hanging="332"/>
        <w:spacing w:after="0" w:line="182"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Net income from continuing operations attributable to controlling interest of JOYY</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US$54.3 million, compared to net loss of US$304.1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corresponding period of 2024 and net income of US$62.0 million in the third quarter of 2025.</w:t>
      </w:r>
    </w:p>
    <w:p>
      <w:pPr>
        <w:spacing w:after="0" w:line="1" w:lineRule="exact"/>
        <w:rPr>
          <w:rFonts w:ascii="Times New Roman" w:cs="Times New Roman" w:eastAsia="Times New Roman" w:hAnsi="Times New Roman"/>
          <w:sz w:val="36"/>
          <w:szCs w:val="36"/>
          <w:color w:val="auto"/>
          <w:vertAlign w:val="superscript"/>
        </w:rPr>
      </w:pPr>
    </w:p>
    <w:p>
      <w:pPr>
        <w:ind w:left="340" w:right="460" w:hanging="332"/>
        <w:spacing w:after="0" w:line="182"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 from continuing operations attributable to controlling interest and common shareholders of JOYY</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US$70.3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compared with US$96.1 million in the corresponding period of 2024 and US$72.4 million in the third quarter of 2025.</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92" w:lineRule="auto"/>
        <w:tabs>
          <w:tab w:leader="none" w:pos="34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b w:val="1"/>
          <w:bCs w:val="1"/>
          <w:color w:val="auto"/>
        </w:rPr>
        <w:t>Net Cash</w:t>
      </w:r>
      <w:r>
        <w:rPr>
          <w:rFonts w:ascii="Times New Roman" w:cs="Times New Roman" w:eastAsia="Times New Roman" w:hAnsi="Times New Roman"/>
          <w:sz w:val="23"/>
          <w:szCs w:val="23"/>
          <w:b w:val="1"/>
          <w:bCs w:val="1"/>
          <w:color w:val="auto"/>
          <w:vertAlign w:val="superscript"/>
        </w:rPr>
        <w:t>6</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of December 31, 2025 was US$3,258.0 million.</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cash from operating activities </w:t>
      </w:r>
      <w:r>
        <w:rPr>
          <w:rFonts w:ascii="Times New Roman" w:cs="Times New Roman" w:eastAsia="Times New Roman" w:hAnsi="Times New Roman"/>
          <w:sz w:val="18"/>
          <w:szCs w:val="18"/>
          <w:color w:val="auto"/>
        </w:rPr>
        <w:t>was US$116.0 million, compared with US$110.5 million in the corresponding period of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Highlights</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US$2,124.2 million, compared with US$2,237.8 million in 2024.</w:t>
      </w:r>
    </w:p>
    <w:p>
      <w:pPr>
        <w:spacing w:after="0" w:line="31" w:lineRule="exact"/>
        <w:rPr>
          <w:sz w:val="20"/>
          <w:szCs w:val="20"/>
          <w:color w:val="auto"/>
        </w:rPr>
      </w:pPr>
    </w:p>
    <w:p>
      <w:pPr>
        <w:ind w:left="920" w:hanging="332"/>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Live streaming revenues </w:t>
      </w:r>
      <w:r>
        <w:rPr>
          <w:rFonts w:ascii="Times New Roman" w:cs="Times New Roman" w:eastAsia="Times New Roman" w:hAnsi="Times New Roman"/>
          <w:sz w:val="18"/>
          <w:szCs w:val="18"/>
          <w:color w:val="auto"/>
        </w:rPr>
        <w:t>were US$1,529.7 million, compared with US$1,788.0 million in 2024.</w:t>
      </w:r>
    </w:p>
    <w:p>
      <w:pPr>
        <w:spacing w:after="0" w:line="9"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Advertising revenues </w:t>
      </w:r>
      <w:r>
        <w:rPr>
          <w:rFonts w:ascii="Times New Roman" w:cs="Times New Roman" w:eastAsia="Times New Roman" w:hAnsi="Times New Roman"/>
          <w:sz w:val="18"/>
          <w:szCs w:val="18"/>
          <w:color w:val="auto"/>
        </w:rPr>
        <w:t>increased by 37.1% to US$442.7 million from US$323.0 million in 2024.</w:t>
      </w:r>
    </w:p>
    <w:p>
      <w:pPr>
        <w:spacing w:after="0" w:line="9"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revenues </w:t>
      </w:r>
      <w:r>
        <w:rPr>
          <w:rFonts w:ascii="Times New Roman" w:cs="Times New Roman" w:eastAsia="Times New Roman" w:hAnsi="Times New Roman"/>
          <w:sz w:val="18"/>
          <w:szCs w:val="18"/>
          <w:color w:val="auto"/>
        </w:rPr>
        <w:t>increased by 19.8% to US$151.9 million from US$126.8 million in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US$55.8 million, compared to operating loss of US$405.6 million in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EBITDA </w:t>
      </w:r>
      <w:r>
        <w:rPr>
          <w:rFonts w:ascii="Times New Roman" w:cs="Times New Roman" w:eastAsia="Times New Roman" w:hAnsi="Times New Roman"/>
          <w:sz w:val="18"/>
          <w:szCs w:val="18"/>
          <w:color w:val="auto"/>
        </w:rPr>
        <w:t>was US$189.8 million, representing an increase of 10.9% from US$171.2 million in 2024.</w:t>
      </w:r>
    </w:p>
    <w:p>
      <w:pPr>
        <w:spacing w:after="0" w:line="9" w:lineRule="exact"/>
        <w:rPr>
          <w:rFonts w:ascii="Times New Roman" w:cs="Times New Roman" w:eastAsia="Times New Roman" w:hAnsi="Times New Roman"/>
          <w:sz w:val="18"/>
          <w:szCs w:val="18"/>
          <w:color w:val="auto"/>
        </w:rPr>
      </w:pPr>
    </w:p>
    <w:p>
      <w:pPr>
        <w:ind w:left="340" w:right="3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from continuing operations attributable to controlling interest of JOYY </w:t>
      </w:r>
      <w:r>
        <w:rPr>
          <w:rFonts w:ascii="Times New Roman" w:cs="Times New Roman" w:eastAsia="Times New Roman" w:hAnsi="Times New Roman"/>
          <w:sz w:val="18"/>
          <w:szCs w:val="18"/>
          <w:color w:val="auto"/>
        </w:rPr>
        <w:t>was US$222.5 million, compared to net loss of US$146.2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2024.</w:t>
      </w:r>
    </w:p>
    <w:p>
      <w:pPr>
        <w:ind w:left="340" w:right="4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from continuing operations attributable to controlling interest and common shareholders of JOYY </w:t>
      </w:r>
      <w:r>
        <w:rPr>
          <w:rFonts w:ascii="Times New Roman" w:cs="Times New Roman" w:eastAsia="Times New Roman" w:hAnsi="Times New Roman"/>
          <w:sz w:val="18"/>
          <w:szCs w:val="18"/>
          <w:color w:val="auto"/>
        </w:rPr>
        <w:t>was US$282.8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compared with US$298.5 million in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Business Highlights</w:t>
      </w:r>
    </w:p>
    <w:p>
      <w:pPr>
        <w:spacing w:after="0" w:line="2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Global community</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-88900</wp:posOffset>
            </wp:positionV>
            <wp:extent cx="43180"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11" w:lineRule="exact"/>
        <w:rPr>
          <w:sz w:val="20"/>
          <w:szCs w:val="20"/>
          <w:color w:val="auto"/>
        </w:rPr>
      </w:pPr>
    </w:p>
    <w:p>
      <w:pPr>
        <w:ind w:left="340" w:right="220" w:hanging="332"/>
        <w:spacing w:after="0" w:line="203" w:lineRule="auto"/>
        <w:tabs>
          <w:tab w:leader="none" w:pos="34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Global average mobile MAUs</w:t>
      </w:r>
      <w:r>
        <w:rPr>
          <w:rFonts w:ascii="Times New Roman" w:cs="Times New Roman" w:eastAsia="Times New Roman" w:hAnsi="Times New Roman"/>
          <w:sz w:val="29"/>
          <w:szCs w:val="29"/>
          <w:b w:val="1"/>
          <w:bCs w:val="1"/>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reached 272.1 million in the fourth quarter of 2025, up by 3.4% from 263.1 million in the corresponding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up by 2.2% from 266.2 million in the third quarter of 2025. The Company continued to optimize its marketing strategies to focus on return on investment (ROI) and high-value users.</w:t>
      </w:r>
    </w:p>
    <w:p>
      <w:pPr>
        <w:spacing w:after="0" w:line="20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Live streaming</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-88900</wp:posOffset>
            </wp:positionV>
            <wp:extent cx="43180"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11" w:lineRule="exact"/>
        <w:rPr>
          <w:sz w:val="20"/>
          <w:szCs w:val="20"/>
          <w:color w:val="auto"/>
        </w:rPr>
      </w:pPr>
    </w:p>
    <w:p>
      <w:pPr>
        <w:ind w:left="340" w:right="30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streaming revenues reached US$394.4 million in the fourth quarter, including US$371.8 million from BIGO, representing an increase of 1.1% from the previous quarter and the third consecutive quarter of sequential growth. By region, live streaming revenues from developed countries and regions grew by 3.4% quarter over quarter.</w:t>
      </w:r>
    </w:p>
    <w:p>
      <w:pPr>
        <w:spacing w:after="0" w:line="1" w:lineRule="exact"/>
        <w:rPr>
          <w:rFonts w:ascii="Times New Roman" w:cs="Times New Roman" w:eastAsia="Times New Roman" w:hAnsi="Times New Roman"/>
          <w:sz w:val="18"/>
          <w:szCs w:val="18"/>
          <w:color w:val="auto"/>
        </w:rPr>
      </w:pPr>
    </w:p>
    <w:p>
      <w:pPr>
        <w:ind w:left="340" w:right="120" w:hanging="332"/>
        <w:spacing w:after="0" w:line="182" w:lineRule="auto"/>
        <w:tabs>
          <w:tab w:leader="none" w:pos="34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Total paying users of BIGO</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rose by 1.5% quarter over quarter to 1.54 million, while ARPPU</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increased moderately quarter over quarter and reached US$222.8.</w:t>
      </w:r>
    </w:p>
    <w:p>
      <w:pPr>
        <w:spacing w:after="0" w:line="1" w:lineRule="exact"/>
        <w:rPr>
          <w:rFonts w:ascii="Times New Roman" w:cs="Times New Roman" w:eastAsia="Times New Roman" w:hAnsi="Times New Roman"/>
          <w:sz w:val="36"/>
          <w:szCs w:val="36"/>
          <w:color w:val="auto"/>
          <w:vertAlign w:val="superscript"/>
        </w:rPr>
      </w:pPr>
    </w:p>
    <w:p>
      <w:pPr>
        <w:ind w:left="340" w:right="60" w:hanging="332"/>
        <w:spacing w:after="0" w:line="25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continued to drive streamer incentive reforms and AI-powered enhancements across content distribution and payment experiences, which in turn supported steady gains in both user engagement and monetization. For example, by integrating LLM architecture and incorporating multi-modal information into its recommendation systems, Bigo Live improved its ability to understand both live-streaming content and user interests. This optimized recommendation precision and distribution efficiency led to a 5.6% increase in Bigo Live’s average viewing time per user quarter over quarter. User adoption of AI-generated virtual gifts continued to grow. In January 2026, the consumption of AI interactive gifts on Bigo Live accounted for over 30% of total virtual gift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7" w:lineRule="exact"/>
        <w:rPr>
          <w:sz w:val="20"/>
          <w:szCs w:val="20"/>
          <w:color w:val="auto"/>
        </w:rPr>
      </w:pPr>
      <w:r>
        <w:rPr>
          <w:rFonts w:ascii="Times New Roman" w:cs="Times New Roman" w:eastAsia="Times New Roman" w:hAnsi="Times New Roman"/>
          <w:sz w:val="18"/>
          <w:szCs w:val="18"/>
          <w:b w:val="1"/>
          <w:bCs w:val="1"/>
          <w:color w:val="auto"/>
        </w:rPr>
        <w:t>Recent Development on New Initiatives- Advertising Technology</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-88900</wp:posOffset>
            </wp:positionV>
            <wp:extent cx="43180"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23" w:lineRule="exact"/>
        <w:rPr>
          <w:sz w:val="20"/>
          <w:szCs w:val="20"/>
          <w:color w:val="auto"/>
        </w:rPr>
      </w:pPr>
    </w:p>
    <w:p>
      <w:pPr>
        <w:ind w:left="340" w:right="20" w:hanging="332"/>
        <w:spacing w:after="0" w:line="276"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in 2022, the Company ramped up efforts to diversify its revenue stream, cultivating its new initiatives in advertising technology and others. The Company has made steady progress advancing towards its strategic positioning as a global tech company powered by multiple growth engines.</w:t>
      </w:r>
    </w:p>
    <w:p>
      <w:pPr>
        <w:ind w:left="340" w:right="58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total non-live streaming revenues reached US$187.5 million, up by 47.6% year over year, representing 32.2% of total net revenues of the Company, compared with 23.1% in the corresponding period of 2024.</w:t>
      </w:r>
    </w:p>
    <w:p>
      <w:pPr>
        <w:ind w:left="340" w:right="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BIGO Ads is an AI-powered programmatic advertising platform. Launched to provide one-stop marketing and monetization solutions, it leverages deep learning, real-time bidding, and smart bidding models (such as oCPC and ROAS optimization) to enable brands to scale user acquisition and app developers to effectively unlock monetization potentials through connecting premium global demand.</w:t>
      </w:r>
    </w:p>
    <w:p>
      <w:pPr>
        <w:spacing w:after="0" w:line="1"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BIGO Ads' total revenues grew by 61.5% year over year and by 23.3% quarter over quarter to US$128.1 million. In particular, BIGO Audience Network, which includes third-party advertising revenues generated on network partners’ traffic properties, delivered exceptional results, up by 82.5% year over year and 27.3% quarter over quarter, demonstrating accelerated growth momentum on a sequential basis for the third consecutive quarter.</w:t>
      </w:r>
    </w:p>
    <w:p>
      <w:pPr>
        <w:spacing w:after="0" w:line="1"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BIGO Ads has access to a vast traffic pool, comprising the Company’s own global average mobile MAU base and an extensive network of third-party traffic through seamless integration of developer traffic across major channels. During the quarter, Software Development Kit (SDK) advertising requests grew by 166% year over year and 23% quarter over quarter.</w:t>
      </w:r>
    </w:p>
    <w:p>
      <w:pPr>
        <w:spacing w:after="0" w:line="1" w:lineRule="exact"/>
        <w:rPr>
          <w:rFonts w:ascii="Times New Roman" w:cs="Times New Roman" w:eastAsia="Times New Roman" w:hAnsi="Times New Roman"/>
          <w:sz w:val="18"/>
          <w:szCs w:val="18"/>
          <w:color w:val="auto"/>
        </w:rPr>
      </w:pPr>
    </w:p>
    <w:p>
      <w:pPr>
        <w:ind w:left="340" w:right="32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traffic coverage, multi-vertical advertiser expansion, and ongoing algorithm optimization fueled accelerated growth. Web-based demands grew by 20% quarter over quarter. Mobile-based demands remained strong, with in-app advertising spending up by 39% quarter over quarter. Geographically, developed markets demonstrated strong momentum, with North America revenues growing by over 21% quarter over quarter and Western European revenues growing by 46% quarter over quarter.</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the number of key cohorts increased by 29% quarter over quarter, with total spending from key cohorts up by 34% quarter over quarter.</w:t>
      </w:r>
    </w:p>
    <w:p>
      <w:pPr>
        <w:spacing w:after="0" w:line="207" w:lineRule="exact"/>
        <w:rPr>
          <w:sz w:val="20"/>
          <w:szCs w:val="20"/>
          <w:color w:val="auto"/>
        </w:rPr>
      </w:pPr>
    </w:p>
    <w:p>
      <w:pPr>
        <w:ind w:left="180" w:right="40"/>
        <w:spacing w:after="0" w:line="266" w:lineRule="auto"/>
        <w:rPr>
          <w:sz w:val="20"/>
          <w:szCs w:val="20"/>
          <w:color w:val="auto"/>
        </w:rPr>
      </w:pPr>
      <w:r>
        <w:rPr>
          <w:rFonts w:ascii="Times New Roman" w:cs="Times New Roman" w:eastAsia="Times New Roman" w:hAnsi="Times New Roman"/>
          <w:sz w:val="18"/>
          <w:szCs w:val="18"/>
          <w:color w:val="auto"/>
        </w:rPr>
        <w:t>Ms. Ting Li, Chairperson and Chief Executive Officer of JOYY, commented, “We closed 2025 on a strong note, with fourth-quarter total revenues of US$581.9 million, up by 5.9% year over year and 7.7% quarter over quarter, our first year-over-year revenue growth since the second half of 2024. This signals a pivotal moment in our topline trajectory and our strategic transformation.</w:t>
      </w:r>
    </w:p>
    <w:p>
      <w:pPr>
        <w:spacing w:after="0" w:line="176" w:lineRule="exact"/>
        <w:rPr>
          <w:sz w:val="20"/>
          <w:szCs w:val="20"/>
          <w:color w:val="auto"/>
        </w:rPr>
      </w:pPr>
    </w:p>
    <w:p>
      <w:pPr>
        <w:ind w:left="180" w:right="60"/>
        <w:spacing w:after="0" w:line="266" w:lineRule="auto"/>
        <w:rPr>
          <w:sz w:val="20"/>
          <w:szCs w:val="20"/>
          <w:color w:val="auto"/>
        </w:rPr>
      </w:pPr>
      <w:r>
        <w:rPr>
          <w:rFonts w:ascii="Times New Roman" w:cs="Times New Roman" w:eastAsia="Times New Roman" w:hAnsi="Times New Roman"/>
          <w:sz w:val="18"/>
          <w:szCs w:val="18"/>
          <w:color w:val="auto"/>
        </w:rPr>
        <w:t>Our live streaming business delivered its third consecutive quarter of sequential revenue recovery, with revenues showing a 1.5% quarter-over-quarter increase. Meanwhile, our advertising business demonstrated remarkable momentum, with BIGO Ads revenues reaching US$128.1 million, representing a 61.5% year-over-year increase and a 23.3% quarter-over-quarter increase.</w:t>
      </w:r>
    </w:p>
    <w:p>
      <w:pPr>
        <w:spacing w:after="0" w:line="176"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18"/>
          <w:szCs w:val="18"/>
          <w:color w:val="auto"/>
        </w:rPr>
        <w:t>Looking back at the full year of 2025, we made meaningful progress in shaping our strategic framework as a global technology company with multiple, synergistic growth engines. Driven by broader traffic coverage, multi-vertical advertiser expansion, and ongoing algorithm optimization, BIGO Ads achieved a 38.5% year-over-year revenue growth in 2025, with its third-party advertising revenues, Audience Network, accelerating to 56.3% year-over-year revenue growth. Operating cash flow remained robust, and we returned US$332.0 million to shareholders through share repurchases and dividends throughout 2025.</w:t>
      </w:r>
    </w:p>
    <w:p>
      <w:pPr>
        <w:spacing w:after="0" w:line="183" w:lineRule="exact"/>
        <w:rPr>
          <w:sz w:val="20"/>
          <w:szCs w:val="20"/>
          <w:color w:val="auto"/>
        </w:rPr>
      </w:pPr>
    </w:p>
    <w:p>
      <w:pPr>
        <w:ind w:left="180" w:right="160"/>
        <w:spacing w:after="0" w:line="261" w:lineRule="auto"/>
        <w:rPr>
          <w:sz w:val="20"/>
          <w:szCs w:val="20"/>
          <w:color w:val="auto"/>
        </w:rPr>
      </w:pPr>
      <w:r>
        <w:rPr>
          <w:rFonts w:ascii="Times New Roman" w:cs="Times New Roman" w:eastAsia="Times New Roman" w:hAnsi="Times New Roman"/>
          <w:sz w:val="18"/>
          <w:szCs w:val="18"/>
          <w:color w:val="auto"/>
        </w:rPr>
        <w:t>As we look ahead, we believe 2026 will be a landmark year for JOYY, marking the resolute beginning of our renewed growth journey. With our social entertainment business serving as the cornerstone of profitability and cash flow, and BIGO Ads and Shopline fueling our next stage of growth, we believe we are well-positioned for sustainable and profitable growth. Leveraging our integrated ecosystem, we remain committed to strengthening JOYY's position and delivering sustainable long-term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14"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Net revenues were US$581.9 million, representing an increase of 5.9% from US$549.4 million in the corresponding period of 2024 and 7.7% from US$540.2 million in the third quarter of 2025.</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Live streaming revenues were US$394.4 million, compared with US$422.4 million in the corresponding period of 2024, representing an increase of 1.5% from US$388.5 million in the third quarter of 2025. The year-over-year decrease was primarily due to proactive adjustments to the operational strategies and product features to enhance efficiency and compliance. The quarter-over-quarter increase was primarily driven by improved user spending sentiment through a more diversified content ecosystem and effective localized operations.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Advertising revenues increased by 62.4% to US$145.4 million from US$89.6 million in the corresponding period of 2024, and represented an increase of 29.3% from US$112.5 million in the third quarter of 2025. The year-over-year and quarter-over-quarter increases were due to strong performance of BIGO Ads, driven by expansion of traffic, geographic and vertical market diversification, and enhanced algorithm performance that resulted in improved advertisement delivery efficiency and higher advertiser spending.</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revenues increased by 12.3% to US$42.1 million from US$37.5 million in the corresponding period of 2024 and by 7.2% from US$39.2 million in the third quarter of 2025, mainly driven by the continued steady growth of the Company’s smart commerce SaaS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Cost of revenues was US$376.3 million in the fourth quarter of 2025, compared with US$345.7 million in the corresponding period of 2024 and US$347.1 million in the third quarter of 2025. BIGO’s cost of revenues increased by 9.3% year over year to US$333.3 million, and by 8.2% from US$308.1 million in the third quarter of 2025. The year-over-year and quarter-over-quarter sequential change was primarily attributable to a US$33.0 million and US$28.0 million increase in revenue-sharing fees and content costs, respectively, primarily resulting from higher traffic acquisition costs paid to third-party partners in relation to the expansion of the Company’s advertising business. All others’ cost of revenues increased by 5.5% year over year to US$43.1 million, and by 10.3% from the third quarter of 2025, generally in line with the increase in segment revenue.</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profit was US$205.6 million in the fourth quarter of 2025, compared with US$203.8 million in the corresponding period of 2024 and US$193.1 million in the third quarter of 2025. Gross margin was 35.3% in the fourth quarter of 2025, compared with 37.1% in the corresponding period of 2024 and 35.8% in the third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INCOME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expenses were US$187.8 million in the fourth quarter of 2025, compared with US$633.5 million in the same period of 2024 and US$174.2 million in the third quarter of 2025. Among the operating expenses, sales and marketing expenses were US$81.4 million, compared with US$67.0 million in the corresponding period of 2024 and US$72.1 million in the third quarter of 2025. The year-over-year increase primarily reflected a restoration of user acquisition activity, as the Company's ROI-focused marketing spending returned to regular levels following one-off advertising savings associated with a temporary app store interruption in the fourth quarter of 2024. Research and development expenses were US$61.5 million, compared with US$67.5 million in the corresponding period of 2024 and US$63.1 million in the third quarter of 2025. The year-over-year decrease was mainly attributable to a US$5.6 million decrease in employee compensation and welfare expenses, reflecting the Company's continued prudence and discipline in spending through enhanced resource sharing and operational synergy across different business units, while strategically allocating an incremental share of research and development resources towards BIGO Ads. General and administrative expenses were US$44.9 million, compared with US$44.0 million in the corresponding period of 2024 and US$39.1 million in the third quarter of 2025. Goodwill impairment charges of US$454.9 million were recorded in the fourth quarter of 2024, primarily attributable to goodwill associated with the Company's prior acquisitions and driven by lower valuations amid market conditions at that time. No comparable charge was recorded in the fourth quarter of 2025.</w:t>
      </w:r>
    </w:p>
    <w:p>
      <w:pPr>
        <w:spacing w:after="0" w:line="1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income was US$18.3 million, compared to operating loss of US$427.9 million in the corresponding period of 2024 and operating income of US$19.6 million in the third quarter of 2025.</w:t>
      </w:r>
    </w:p>
    <w:p>
      <w:pPr>
        <w:spacing w:after="0" w:line="165" w:lineRule="exact"/>
        <w:rPr>
          <w:sz w:val="20"/>
          <w:szCs w:val="20"/>
          <w:color w:val="auto"/>
        </w:rPr>
      </w:pPr>
    </w:p>
    <w:p>
      <w:pPr>
        <w:jc w:val="both"/>
        <w:ind w:right="160"/>
        <w:spacing w:after="0" w:line="204" w:lineRule="auto"/>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US$40.8 million in the fourth quarter of 2025, compared with US$46.4 million in the corresponding period of 2024 and US$40.7 million in the third quarter of 2025. Non-GAAP operating income margin</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was 7.0% in the fourth quarter of 2025, compared with 8.4% in the corresponding period of 2024 and 7.5% in the third quarter of 2025.</w:t>
      </w:r>
    </w:p>
    <w:p>
      <w:pPr>
        <w:spacing w:after="0" w:line="198" w:lineRule="exact"/>
        <w:rPr>
          <w:sz w:val="20"/>
          <w:szCs w:val="20"/>
          <w:color w:val="auto"/>
        </w:rPr>
      </w:pPr>
    </w:p>
    <w:p>
      <w:pPr>
        <w:jc w:val="both"/>
        <w:ind w:right="80"/>
        <w:spacing w:after="0" w:line="292" w:lineRule="auto"/>
        <w:rPr>
          <w:sz w:val="20"/>
          <w:szCs w:val="20"/>
          <w:color w:val="auto"/>
        </w:rPr>
      </w:pPr>
      <w:r>
        <w:rPr>
          <w:rFonts w:ascii="Times New Roman" w:cs="Times New Roman" w:eastAsia="Times New Roman" w:hAnsi="Times New Roman"/>
          <w:sz w:val="18"/>
          <w:szCs w:val="18"/>
          <w:color w:val="auto"/>
        </w:rPr>
        <w:t>Non-GAAP EBITDA was US$50.6 million, compared with US$55.7 million in the corresponding period of 2024 and US$50.6 million in the third quarter of 2025. Non-GAAP EBITDA margin</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was 8.7%, compared with 10.1% in the corresponding period of 2024 and 9.4% in the third quarter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income from continuing operations attributable to controlling interest of JOYY was US$54.3 million, compared to net loss of US$304.1 million in the corresponding period of 2024 and net income of US$62.0 million in the third quarter of 2025. Net income margin was 9.3% in the fourth quarter of 2025, compared with net loss margin of 55.4% in the corresponding period of 2024 and net income margin of 11.5% in the third quarter of 2025.</w:t>
      </w:r>
    </w:p>
    <w:p>
      <w:pPr>
        <w:spacing w:after="0" w:line="17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Non-GAAP net income from continuing operations attributable to controlling interest and common shareholders of JOYY was US$70.3 million, compared with US$96.1 million in the corresponding period of 2024 and US$72.4 million in the third quarter of 2025. Non-GAAP net income margin</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was 12.1% in the fourth quarter of 2025, compared with non-GAAP net income margin of 17.5% in the corresponding period of 2024 and 13.4% in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501"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ADS</w:t>
      </w:r>
    </w:p>
    <w:p>
      <w:pPr>
        <w:spacing w:after="0" w:line="233"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Diluted net income from continuing operations per ADS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was US$1.03 in the fourth quarter of 2025, compared with diluted net loss per ADS of US$5.67 in the corresponding period of 2024 and diluted net income per ADS of US$1.15 in in the third quarter of 2025.</w:t>
      </w:r>
    </w:p>
    <w:p>
      <w:pPr>
        <w:spacing w:after="0" w:line="202" w:lineRule="exact"/>
        <w:rPr>
          <w:sz w:val="20"/>
          <w:szCs w:val="20"/>
          <w:color w:val="auto"/>
        </w:rPr>
      </w:pPr>
    </w:p>
    <w:p>
      <w:pPr>
        <w:ind w:right="760"/>
        <w:spacing w:after="0" w:line="216" w:lineRule="auto"/>
        <w:rPr>
          <w:sz w:val="20"/>
          <w:szCs w:val="20"/>
          <w:color w:val="auto"/>
        </w:rPr>
      </w:pPr>
      <w:r>
        <w:rPr>
          <w:rFonts w:ascii="Times New Roman" w:cs="Times New Roman" w:eastAsia="Times New Roman" w:hAnsi="Times New Roman"/>
          <w:sz w:val="18"/>
          <w:szCs w:val="18"/>
          <w:color w:val="auto"/>
        </w:rPr>
        <w:t>Non-GAAP diluted net income from continuing operations per ADS</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was US$1.34 in the fourth quarter of 2025, compared with US$1.77 in the corresponding period of 2024 and US$1.36 in the third quarter of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FLOWS</w:t>
      </w:r>
    </w:p>
    <w:p>
      <w:pPr>
        <w:spacing w:after="0" w:line="23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As of December 31, 2025, the Company had net cash</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of US$3,258.0 million, compared with US$3,275.9 million as of December 31, 2024. For the fourth quarter of 2025, net cash from operating activities was US$116.0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 total of 999.7 million common shares outstanding, representing the equivalent of 50.0 million ADSs assuming the conversion of all common shares into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the full year of 2025 were US$2,124.2 million, compared with US$2,237.8 million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 revenues for the full year of 2025 were US$1,529.7 million, compared with US$1,788.0 million in 2024.</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Advertising revenues for the full year of 2025 increased by 37.1% to US$442.7 million from US$323.0 million in 2024. BIGO Ads revenues for the full year of 2025 increased by 38.5% to US$398.5 million from US$287.8 million in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for the full year of 2025 increased by 19.8% to US$151.9 million from US$126.8 million in 2024.</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income was US$55.8 million for the full year of 2025, compared with an operating loss of US$405.6 million in 2024. Operating income margin was 2.6% in 2025, compared with an operating loss margin of 18.1% in 2024.</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Non-GAAP operating income was US$150.8 million for the full year of 2025, compared to US$136.1 million in 2024. Non-GAAP operating income margin was 7.1% in 2025, compared to 6.1% in 2024.</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Non-GAAP EBITDA was US$189.8 million for the full year of 2025, representing an increase of 10.9% from US$171.2 million in 2024. Non-GAAP EBITDA margin for the full year of 2025 was 8.9%, compared with 7.6% in 2024.</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income from continuing operations attributable to controlling interest of JOYY for the full year of 2025 was US$222.5 million, compared with a net loss of US$146.2 million in 2024. Net income margin for the full year of 2025 was 10.5%, compared with a net loss margin of 6.5% in 2024.</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Non-GAAP net income from continuing operations attributable to controlling interest and common shareholders of JOYY for the full year of 2025 was US$282.8 million, compared to US$298.5 million in 2024. Non-GAAP net income margin for the full year of 2025 was 13.3%, compared to 13.3%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net income from continuing operations per ADS for the full year of 2025 was US$4.15, compared to diluted net loss per ADS of US$2.55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diluted net income from continuing operations per ADS was US$5.31 in 2025, compared to US$4.96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first quarter of 2026, the Company expects net revenues to be between US$538 million and US$548 million. This forecast reflects the Company’s current and preliminary views on the market, operational conditions and business strategies, which are subject to changes, particularly as to the potential impact from macroeconomic uncertainties.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Pursuant to the Company's share repurchase program authorized in March 2025, which is effective till the end of 2027, the Company had repurchased approximately 2.4 million ADSs for an aggregate consideration of US$134.6 million on the open market during the full year of 2025, of which approximately 1.1 million ADSs for an aggregate consideration of US$67.4 million were repurchased during the fourth quarter of 2025.</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Between December 31, 2025 and March 11, 2026, the Company repurchased an additional approximately 0.4 million ADSs, for an aggregate consideration of US$25.0 million. The remaining unutilized amount under the authorized share repurchase program was approximately US$140.0 million as of the date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Quarterly Dividend Program and Additional Cash Dividend</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March 19, 2025, the board of directors authorized a quarterly dividend program from 2025 to 2027, under which a total of approximately US$600 million in cash will be distributed on a quarterly basis over the three-year period. Accordingly, it is expected that a cash dividend of US$0.99 per ADS, or US$0.0495 per common share, will be paid pursuant to this quarterly dividend program. In addition, the Company is pleased to announce that, in light of its strong FY2025 performance and continued double-digit improvements in non-GAAP operational profitability, its board of directors has approved an additional cash dividend in a total amount of US$20 million (US$0.39 per ADS, or US$0.0195 per common share), representing approximately 10% of total cash dividends declared for fiscal year 2025. This additional cash dividend further demonstrates the Company's ongoing commitment to delivering shareholder value and its appreciation for shareholders' continued support for the Company's long-term growth. The additional cash dividend will be paid together with the aforementioned quarterly dividend.</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Aggregating the quarterly cash dividend and the additional cash dividend for the first quarter of 2026, the Company's board of directors has declared a cash dividend in the aggregate amount of US$1.38 per ADS, or US$0.069 per common share, which is expected to be paid on May 8, 2026 to shareholders of record as of the close of business on April 22, 2026. The ex-dividend date will be April 22,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Refinements to Segment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light of its evolving business developments, the Company is currently evaluating certain refinements to its internal management and segment reporting structure. The Company currently expects to adopt a revised reportable segment structure beginning in the first quarter of 2026, following the changes to its management structure and CODM reporting. Should a revised segment reporting structure be adopted, historical segment information would be adjusted retrospectively. The Company will provide further details in its quarterly earnings releases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Second Amended and Restated 2011 Share Incentive Plan</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adopted the Second Amended and Restated 2011 Share Incentive Plan (the “New Plan”), as approved and authorized by the board of directors of the Company and its compensation committee. The New Plan amends and restates the previously adopted Amended and Restated 2011 Share Incentive Plan in its entirety and assumes all awards granted thereunder. Under the New Plan, the maximum aggregate number of shares of the Company available for grant of awards is initially 231,950,949 Class A common shares, plus an annual increase of 20,000,000 Class A common shares on the first day of each fiscal year, beginning in 2027, or such lesser number of Class A common shares as determined by the board of directors of the Company. The New Plan will expire upon the tenth anniversary of the adoption date.</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Concurrently with the adoption of the New Plan, the previously adopted 2019 Share Incentive Awards Arrangement was also terminated. No more awards may be granted under the 2019 Share Incentive Awards Arrangement, and all awards that had been granted under the 2019 Share Incentive Awards Arrangement and remained outstanding were assumed by the New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hold a conference call at 9:00 PM U.S. Eastern Time on Tuesday, March 10, 2026 (9:00 AM Singapore/Hong Kong Time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Wednesday, March 11, 2026). Details for the conference call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 JOYY Inc. Fourth Quarter and Full Year 2025 Earnings Conference 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#10053499</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PRE-REGISTER LINK: https://s1.c-conf.com/diamondpass/10053499-no87g5.html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https://ir.joyy.com.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March 18, 2026, by dialing the following numbers: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1-855-883-1031</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800-101-3223</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#10053499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JOYY Inc.</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JOYY (NASDAQ: JOYY) is a leading global technology company with a mission to enrich lives through technology. With a diversified product portfolio spanning live streaming, short-form videos, instant messaging, and emerging initiatives such as advertising and smart commerce SaaS, JOYY has transformed into a dynamic ecosystem powered by AI and data intelligence. Headquartered in Singapore and operating across the globe, JOYY empowers creators, merchants and enterprises worldwide. JOYY’s ADSs have been listed on the NASDAQ since November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social entertainment and advertising market; JOYY’s ability to attract and retain users and advertisers; JOYY’s expectations regarding demand for and market acceptances of its products and services; JOYY’s ability to adopt the latest technology to enhance its operations; fluctuations in global economic and business conditions;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accounting principles generally accepted in the United States of America (“U.S. GAAP”). JOYY uses non-GAAP operating (loss) income, non-GAAP operating income (loss) margin, non-GAAP EBITDA, non-GAAP EBITDA margin, non-GAAP net income (loss) from continuing operations attributable to controlling interest and common shareholders of JOYY, non-GAAP net income (loss) margin attributable to controlling interest and common shareholders of JOYY, and basic and diluted non-GAAP net income (loss) from continuing operations per ADS, all of which are non-GAAP financial measures adjusted from the most comparable U.S. GAAP results. Non-GAAP operating income (loss) is operating income (loss) excluding share-based compensation expenses, impairment of goodwill and investments, amortization of intangible assets from business acquisitions, and gain (loss) on deconsolidation and disposal of subsidiaries and business. Non-GAAP operating income (loss) margin is non-GAAP operating income as a percentage of net revenues. Non-GAAP net income (loss) from continuing operations is net income</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(loss) from continuing operations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(referring to share of income (loss) from equity method investments resulting from non-recurring or non-cash items of the equity method investments), interest expenses related to the convertible bonds’ amortization to face value, and income tax effects of the above non-GAAP reconciling items. Non-GAAP EBITDA is non-GAAP operating income (loss) added back depreciation and amortization (other than amortization of intangible assets resulting from assets and business acquisitions), and non-GAAP EBITDA margin is non-GAAP EBITDA as a percentage of net revenues. Non-GAAP net income (loss) from continuing operations attributable to controlling interest and common shareholders of JOYY is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interest expenses related to the convertible bonds’ amortization to face value, income tax effects of the above non-GAAP reconciling items and adjustments for non-GAAP reconciling items for the net (loss) income from continuing operations attributable to non-controlling interest shareholders. Non-GAAP net income (loss) margin is non-GAAP net income (loss) from continuing operations attributable to controlling interest and common shareholders of JOYY as a percentage of net revenues. Non-GAAP net income (loss) from continuing operations attributable to controlling interest and common shareholders of JOYY is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interest expenses related to the convertible bonds’ amortization to face value, accretion, cumulative dividend and deemed dividend to subsidiaries’ preferred shareholders, gain on repurchase of redeemable convertible preferred shares of a subsidiary and income tax effects of above non-GAAP reconciling items and adjustments for non-GAAP reconciling items for the net income (loss) from continuing operations attributable to non-controlling interest shareholders. Basic and diluted non-GAAP net income (loss) from continuing operations per ADS is non-GAAP net income (loss) from continuing operations attributable to common shareholders of JOYY divided by weighted average number of ADS used in the calculation of basic and diluted net income per ADS. The Company believes that separate analysis and exclusion of the non-cash impact of above reconciling items adds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non-cash effect of (i) share-based compensation expenses, amortization of intangible assets from business acquisitions, and interest expenses related to the convertible bonds’ amortization to face value, which have been and will continue to be significant recurring expenses in its business, (ii) impairment of goodwill and investments, gain (loss) on deconsolidation and disposal of subsidiaries and business, gain (loss) on disposal and deemed disposal of investments, gain (loss) on fair value change of investments, reconciling items on the share of equity method investments, accretion, cumulative dividend and deemed dividend to subsidiaries’ preferred shareholders and gain on repurchase of redeemable convertible preferred shares of a subsidiary which may not be recurring in its business, and (iii) income tax expenses and non-GAAP adjustments for net income (loss) from continuing operations attributable to non-controlling interest shareholders, which are affected by the above non-GAAP reconciling items. However, the use of non-GAAP financial measures has material limitations as an analytical tool. One of the limitations of using non-GAAP financial measures is that they do not include all items that impact the Company’s net income (loss)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right="160"/>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“JOYY Inc. Unaudited Reconciliation of GAAP and Non-GAAP Results” near the end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joyy-ir@joyy.com</w:t>
      </w:r>
    </w:p>
    <w:p>
      <w:pPr>
        <w:spacing w:after="0" w:line="229"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The financial information and non-GAAP financial information disclosed in this press release is presented on a continuing operations basis, unless otherwise specifically stated. For the avoidance of confusion, the continuing operations for the three months ended December 31, 2024, September 30, 2025 and December 31, 2025 and for the twelve months ended December 31, 2024 and December 31, 2025, as presented in this press release, primarily consisted of BIGO segment (primarily including Bigo Live, Likee and imo) and the All other segment.</w:t>
      </w:r>
    </w:p>
    <w:p>
      <w:pPr>
        <w:spacing w:after="0" w:line="202"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Company has been presenting advertising revenues as a separate line item in the financial statements since the third quarter of 2025, to better reflect the performance of its emerging advertising business.</w:t>
      </w:r>
    </w:p>
    <w:p>
      <w:pPr>
        <w:spacing w:after="0" w:line="239" w:lineRule="exact"/>
        <w:rPr>
          <w:sz w:val="20"/>
          <w:szCs w:val="20"/>
          <w:color w:val="auto"/>
        </w:rPr>
      </w:pPr>
    </w:p>
    <w:p>
      <w:pPr>
        <w:ind w:right="260" w:firstLine="15"/>
        <w:spacing w:after="0" w:line="219" w:lineRule="auto"/>
        <w:tabs>
          <w:tab w:leader="none" w:pos="157"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EBITDA is a non-GAAP financial measure, which is defined as non-GAAP operating income (loss) added back depreciation and amortization (other than amortization of intangible assets resulting from assets and business acquisitions). Please refer to the section titled “Use of Non-GAAP Financial Measures” and the table captioned “JOYY Inc. Unaudited Reconciliation of GAAP and Non-GAAP Results” near the end of this press release for details.</w:t>
      </w:r>
    </w:p>
    <w:p>
      <w:pPr>
        <w:spacing w:after="0" w:line="239" w:lineRule="exact"/>
        <w:rPr>
          <w:sz w:val="20"/>
          <w:szCs w:val="20"/>
          <w:color w:val="auto"/>
        </w:rPr>
      </w:pPr>
    </w:p>
    <w:p>
      <w:pPr>
        <w:ind w:right="160" w:firstLine="15"/>
        <w:spacing w:after="0" w:line="210" w:lineRule="auto"/>
        <w:tabs>
          <w:tab w:leader="none" w:pos="127"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(loss) from continuing operations attributable to controlling interest of JOYY is net income (loss) from continuing operations less net (loss) income from continuing operations attributable to the non-controlling interest shareholders and the mezzanine equity classified non-controlling interest shareholders.</w:t>
      </w:r>
    </w:p>
    <w:p>
      <w:pPr>
        <w:spacing w:after="0" w:line="20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Non-GAAP net income (loss) from continuing operations attributable to controlling interest and common shareholders of JOYY is a non-GAAP financial measure, which is defined as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which refer to those similar non-GAAP reconciling items of the Company, interest expenses related to the convertible bonds amortization to face value, accretion, cumulative dividend and deemed dividend to subsidiaries’ preferred shareholders, income tax effects of the above non-GAAP reconciling items and adjustments for non-GAAP reconciling items for net (loss) income attributable to non-controlling interest shareholders. Please refer to the section titled “Use of Non-GAAP Financial Measures” and the table captioned “JOYY Inc. Unaudited Reconciliation of GAAP and Non-GAAP Results” near the end of this press release for details.</w:t>
      </w:r>
    </w:p>
    <w:p>
      <w:pPr>
        <w:spacing w:after="0" w:line="240" w:lineRule="exact"/>
        <w:rPr>
          <w:sz w:val="20"/>
          <w:szCs w:val="20"/>
          <w:color w:val="auto"/>
        </w:rPr>
      </w:pPr>
    </w:p>
    <w:p>
      <w:pPr>
        <w:ind w:right="260" w:firstLine="15"/>
        <w:spacing w:after="0" w:line="195" w:lineRule="auto"/>
        <w:tabs>
          <w:tab w:leader="none" w:pos="127"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cash is calculated as the sum of cash and cash equivalents, restricted cash and cash equivalents, short-term deposits, restricted short-term deposits, short-term investments, long-term deposits and held-to-maturity investments, less short-term and long-term loans.</w:t>
      </w:r>
    </w:p>
    <w:p>
      <w:pPr>
        <w:spacing w:after="0" w:line="20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Refers to average mobile monthly active users of the social entertainment platforms operated by the Company, including Bigo Live, Likee, imo and Hago. Average mobile MAU for any period is calculated by dividing (i) the sum of the Company’s active mobile users for each month of such period, by (ii) the number of months in such period.</w:t>
      </w:r>
    </w:p>
    <w:p>
      <w:pPr>
        <w:spacing w:after="0" w:line="241" w:lineRule="exact"/>
        <w:rPr>
          <w:sz w:val="20"/>
          <w:szCs w:val="20"/>
          <w:color w:val="auto"/>
        </w:rPr>
      </w:pPr>
    </w:p>
    <w:p>
      <w:pPr>
        <w:ind w:right="60" w:firstLine="15"/>
        <w:spacing w:after="0" w:line="195" w:lineRule="auto"/>
        <w:tabs>
          <w:tab w:leader="none" w:pos="124"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paying users during a given period is calculated as the cumulative number of registered user accounts that have purchased virtual items or other products and services on Bigo Live, Likee or imo at least once during the relevant period.</w:t>
      </w:r>
    </w:p>
    <w:p>
      <w:pPr>
        <w:spacing w:after="0" w:line="203"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29"/>
          <w:szCs w:val="29"/>
          <w:color w:val="auto"/>
          <w:vertAlign w:val="superscript"/>
        </w:rPr>
        <w:t>9 </w:t>
      </w:r>
      <w:r>
        <w:rPr>
          <w:rFonts w:ascii="Times New Roman" w:cs="Times New Roman" w:eastAsia="Times New Roman" w:hAnsi="Times New Roman"/>
          <w:sz w:val="18"/>
          <w:szCs w:val="18"/>
          <w:color w:val="auto"/>
        </w:rPr>
        <w:t>Average revenue per user is calculated by dividing the Company’s total revenues from live streaming on Bigo Live, Likee and imo during a given period by the number of paying users for the Company’s live streaming services on these platforms for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right="60"/>
        <w:spacing w:after="0" w:line="231" w:lineRule="auto"/>
        <w:rPr>
          <w:sz w:val="20"/>
          <w:szCs w:val="20"/>
          <w:color w:val="auto"/>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Non-GAAP operating income (loss) is a non-GAAP financial measure, which is defined as operating income (loss) excluding share-based compensation expenses, amortization of intangible assets from business acquisitions, impairment of goodwill and investments and gain (loss) on deconsolidation and disposal of subsidiaries and business. Please refer to the section titled “Use of Non-GAAP Financial Measures” and the table captioned “JOYY Inc. Unaudited Reconciliation of GAAP and Non-GAAP Results” near the end of this press release for details.</w:t>
      </w:r>
    </w:p>
    <w:p>
      <w:pPr>
        <w:spacing w:after="0" w:line="239" w:lineRule="exact"/>
        <w:rPr>
          <w:sz w:val="20"/>
          <w:szCs w:val="20"/>
          <w:color w:val="auto"/>
        </w:rPr>
      </w:pPr>
    </w:p>
    <w:p>
      <w:pPr>
        <w:ind w:right="20" w:firstLine="15"/>
        <w:spacing w:after="0" w:line="235" w:lineRule="auto"/>
        <w:tabs>
          <w:tab w:leader="none" w:pos="196"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Non-GAAP operating income (loss) margin is a non-GAAP financial measure, which is defined as non-GAAP operating income (loss) as a percentage of net revenues. Please refer to the section titled “Use of Non-GAAP Financial Measures” and the table captioned “JOYY Inc. Unaudited Reconciliation of GAAP and Non-GAAP Results” near the end of this press release for details.</w:t>
      </w:r>
    </w:p>
    <w:p>
      <w:pPr>
        <w:spacing w:after="0" w:line="226" w:lineRule="exact"/>
        <w:rPr>
          <w:rFonts w:ascii="Times New Roman" w:cs="Times New Roman" w:eastAsia="Times New Roman" w:hAnsi="Times New Roman"/>
          <w:sz w:val="27"/>
          <w:szCs w:val="27"/>
          <w:color w:val="auto"/>
          <w:vertAlign w:val="superscript"/>
        </w:rPr>
      </w:pPr>
    </w:p>
    <w:p>
      <w:pPr>
        <w:ind w:right="160" w:firstLine="15"/>
        <w:spacing w:after="0" w:line="224" w:lineRule="auto"/>
        <w:tabs>
          <w:tab w:leader="none" w:pos="202"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Non-GAAP EBITDA margin is a non-GAAP financial measure, which is defined as non-GAAP EBITDA as a percentage of net revenues. Please refer to the section titled “Use of Non-GAAP Financial Measures” and the table captioned “JOYY Inc. Unaudited Reconciliation of GAAP and Non-GAAP Results” near the end of this press release for details.</w:t>
      </w:r>
    </w:p>
    <w:p>
      <w:pPr>
        <w:spacing w:after="0" w:line="225" w:lineRule="exact"/>
        <w:rPr>
          <w:rFonts w:ascii="Times New Roman" w:cs="Times New Roman" w:eastAsia="Times New Roman" w:hAnsi="Times New Roman"/>
          <w:sz w:val="28"/>
          <w:szCs w:val="28"/>
          <w:color w:val="auto"/>
          <w:vertAlign w:val="superscript"/>
        </w:rPr>
      </w:pPr>
    </w:p>
    <w:p>
      <w:pPr>
        <w:ind w:right="40" w:firstLine="15"/>
        <w:spacing w:after="0" w:line="208" w:lineRule="auto"/>
        <w:tabs>
          <w:tab w:leader="none" w:pos="202"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Non-GAAP net income (loss) margin is non-GAAP net income from continuing operations attributable to controlling interest and common shareholders of JOYY as a percentage of net revenues.</w:t>
      </w:r>
    </w:p>
    <w:p>
      <w:pPr>
        <w:spacing w:after="0" w:line="226" w:lineRule="exact"/>
        <w:rPr>
          <w:rFonts w:ascii="Times New Roman" w:cs="Times New Roman" w:eastAsia="Times New Roman" w:hAnsi="Times New Roman"/>
          <w:sz w:val="28"/>
          <w:szCs w:val="28"/>
          <w:color w:val="auto"/>
          <w:vertAlign w:val="superscript"/>
        </w:rPr>
      </w:pPr>
    </w:p>
    <w:p>
      <w:pPr>
        <w:ind w:right="80" w:firstLine="15"/>
        <w:spacing w:after="0" w:line="223" w:lineRule="auto"/>
        <w:tabs>
          <w:tab w:leader="none" w:pos="192"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ADS refers to American Depositary Share. Each ADS represents twenty Class A common shares of the Company. Diluted net income (loss) per ADS is net income (loss) attributable to common shareholders of JOYY divided by weighted average number of diluted ADS.</w:t>
      </w:r>
    </w:p>
    <w:p>
      <w:pPr>
        <w:spacing w:after="0" w:line="226" w:lineRule="exact"/>
        <w:rPr>
          <w:rFonts w:ascii="Times New Roman" w:cs="Times New Roman" w:eastAsia="Times New Roman" w:hAnsi="Times New Roman"/>
          <w:sz w:val="26"/>
          <w:szCs w:val="26"/>
          <w:color w:val="auto"/>
          <w:vertAlign w:val="superscript"/>
        </w:rPr>
      </w:pPr>
    </w:p>
    <w:p>
      <w:pPr>
        <w:ind w:firstLine="15"/>
        <w:spacing w:after="0" w:line="233" w:lineRule="auto"/>
        <w:tabs>
          <w:tab w:leader="none" w:pos="202"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Non-GAAP diluted net income (loss) from continuing operations per ADS is a non-GAAP financial measure, which is defined as non-GAAP net income (loss) from continuing operations attributable to common shareholders of JOYY divided by weighted average number of ADS used in the calculation of diluted net income (loss) per ADS. Please refer to the section titled “Use of Non-GAAP Financial Measures” and the table captioned “JOYY Inc. Unaudited Reconciliation of GAAP and Non-GAAP Results” near the end of this press release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440" w:type="dxa"/>
            <w:vAlign w:val="bottom"/>
          </w:tcPr>
          <w:p>
            <w:pPr>
              <w:spacing w:after="0"/>
              <w:rPr>
                <w:sz w:val="24"/>
                <w:szCs w:val="24"/>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444,761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374,248</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371,332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21,593</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1,061,011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192,535</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20,722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7,182</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288,589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613,702</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121,861</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154,439</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84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Prepayments and other current assets</w:t>
            </w:r>
            <w:r>
              <w:rPr>
                <w:rFonts w:ascii="Times New Roman" w:cs="Times New Roman" w:eastAsia="Times New Roman" w:hAnsi="Times New Roman"/>
                <w:sz w:val="29"/>
                <w:szCs w:val="29"/>
                <w:color w:val="auto"/>
                <w:vertAlign w:val="superscript"/>
              </w:rPr>
              <w:t>(1)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247,538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255,566</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2,556,281</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1,619,371</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and held-to-maturity investments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1,124,308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2,059,386</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2,563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9,782</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530,685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551,802</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499,723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565,124</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303,115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301,390</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277,257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221,963</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20,457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21,241</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2,194,324</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2,194,358</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8,071</w:t>
            </w:r>
          </w:p>
        </w:tc>
      </w:tr>
      <w:tr>
        <w:trPr>
          <w:trHeight w:val="210"/>
        </w:trPr>
        <w:tc>
          <w:tcPr>
            <w:tcW w:w="8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4,971,516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5,933,117</w:t>
            </w:r>
          </w:p>
        </w:tc>
      </w:tr>
      <w:tr>
        <w:trPr>
          <w:trHeight w:val="209"/>
        </w:trPr>
        <w:tc>
          <w:tcPr>
            <w:tcW w:w="8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7,527,797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7,552,488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34,853</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10,672</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84,015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71,551</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66,813</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61,713</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4,031</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5,408</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78,304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64,533</w:t>
            </w:r>
          </w:p>
        </w:tc>
      </w:tr>
      <w:tr>
        <w:trPr>
          <w:trHeight w:val="270"/>
        </w:trPr>
        <w:tc>
          <w:tcPr>
            <w:tcW w:w="84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Accrued liabilities and other current liabilities</w:t>
            </w:r>
            <w:r>
              <w:rPr>
                <w:rFonts w:ascii="Times New Roman" w:cs="Times New Roman" w:eastAsia="Times New Roman" w:hAnsi="Times New Roman"/>
                <w:sz w:val="29"/>
                <w:szCs w:val="29"/>
                <w:color w:val="auto"/>
                <w:vertAlign w:val="superscript"/>
              </w:rPr>
              <w:t>(1)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2,393,923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626,678</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24,472</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10,775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8,939</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2,674,092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873,966</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12,029</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12,635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9,522</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47,631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54,941</w:t>
            </w:r>
          </w:p>
        </w:tc>
      </w:tr>
      <w:tr>
        <w:trPr>
          <w:trHeight w:val="229"/>
        </w:trPr>
        <w:tc>
          <w:tcPr>
            <w:tcW w:w="8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76,492</w:t>
            </w:r>
          </w:p>
        </w:tc>
      </w:tr>
      <w:tr>
        <w:trPr>
          <w:trHeight w:val="249"/>
        </w:trPr>
        <w:tc>
          <w:tcPr>
            <w:tcW w:w="84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24"/>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2,744,306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950,458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 (CONTINUED)</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340" w:right="360" w:hanging="161"/>
        <w:spacing w:after="0" w:line="255" w:lineRule="auto"/>
        <w:rPr>
          <w:sz w:val="20"/>
          <w:szCs w:val="20"/>
          <w:color w:val="auto"/>
        </w:rPr>
      </w:pPr>
      <w:r>
        <w:rPr>
          <w:rFonts w:ascii="Times New Roman" w:cs="Times New Roman" w:eastAsia="Times New Roman" w:hAnsi="Times New Roman"/>
          <w:sz w:val="18"/>
          <w:szCs w:val="18"/>
          <w:color w:val="auto"/>
        </w:rPr>
        <w:t>Class A common shares (US$0.00001 par value; 10,000,000,000 and 10,000,000,000 shares authorized, 1,317,840,464 shares issued and 714,663,197 shares outstanding as of December 31, 2024; 1,306,734,444 shares issued and 673,183,174 shares outstanding as of December 31, 2025, respectively)</w:t>
      </w:r>
    </w:p>
    <w:p>
      <w:pPr>
        <w:spacing w:after="0" w:line="2" w:lineRule="exact"/>
        <w:rPr>
          <w:sz w:val="20"/>
          <w:szCs w:val="20"/>
          <w:color w:val="auto"/>
        </w:rPr>
      </w:pPr>
    </w:p>
    <w:p>
      <w:pPr>
        <w:ind w:left="340" w:hanging="161"/>
        <w:spacing w:after="0" w:line="255" w:lineRule="auto"/>
        <w:rPr>
          <w:sz w:val="20"/>
          <w:szCs w:val="20"/>
          <w:color w:val="auto"/>
        </w:rPr>
      </w:pPr>
      <w:r>
        <w:rPr>
          <w:rFonts w:ascii="Times New Roman" w:cs="Times New Roman" w:eastAsia="Times New Roman" w:hAnsi="Times New Roman"/>
          <w:sz w:val="18"/>
          <w:szCs w:val="18"/>
          <w:color w:val="auto"/>
        </w:rPr>
        <w:t>Class B common shares (US$0.00001 par value; 1,000,000,000 and 1,000,000,000 shares authorized, 326,509,555 and 326,509,555 shares issued and outstanding as of December 31, 2024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left="340" w:right="60" w:hanging="161"/>
        <w:spacing w:after="0" w:line="258" w:lineRule="auto"/>
        <w:rPr>
          <w:sz w:val="20"/>
          <w:szCs w:val="20"/>
          <w:color w:val="auto"/>
        </w:rPr>
      </w:pPr>
      <w:r>
        <w:rPr>
          <w:rFonts w:ascii="Times New Roman" w:cs="Times New Roman" w:eastAsia="Times New Roman" w:hAnsi="Times New Roman"/>
          <w:sz w:val="18"/>
          <w:szCs w:val="18"/>
          <w:color w:val="auto"/>
        </w:rPr>
        <w:t>Treasury shares (US$0.00001 par value; 603,177,267 and 633,551,270 shares held as of December 31, 2024 and December 31, 2025, respectively)</w:t>
      </w:r>
    </w:p>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Statutory reserves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r>
      <w:tr>
        <w:trPr>
          <w:trHeight w:val="205"/>
        </w:trPr>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7"/>
                <w:szCs w:val="17"/>
                <w:color w:val="auto"/>
              </w:rPr>
            </w:pPr>
          </w:p>
        </w:tc>
      </w:tr>
      <w:tr>
        <w:trPr>
          <w:trHeight w:val="234"/>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60"/>
        <w:spacing w:after="0"/>
        <w:tabs>
          <w:tab w:leader="none" w:pos="258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55" w:lineRule="exact"/>
        <w:rPr>
          <w:sz w:val="20"/>
          <w:szCs w:val="20"/>
          <w:color w:val="auto"/>
        </w:rPr>
      </w:pPr>
    </w:p>
    <w:p>
      <w:pPr>
        <w:ind w:left="1160"/>
        <w:spacing w:after="0"/>
        <w:tabs>
          <w:tab w:leader="none" w:pos="25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3</w:t>
      </w:r>
    </w:p>
    <w:p>
      <w:pPr>
        <w:spacing w:after="0" w:line="225" w:lineRule="exact"/>
        <w:rPr>
          <w:sz w:val="20"/>
          <w:szCs w:val="20"/>
          <w:color w:val="auto"/>
        </w:rPr>
      </w:pPr>
    </w:p>
    <w:p>
      <w:pPr>
        <w:ind w:left="460"/>
        <w:spacing w:after="0"/>
        <w:tabs>
          <w:tab w:leader="none" w:pos="1900" w:val="left"/>
        </w:tabs>
        <w:rPr>
          <w:sz w:val="20"/>
          <w:szCs w:val="20"/>
          <w:color w:val="auto"/>
        </w:rPr>
      </w:pPr>
      <w:r>
        <w:rPr>
          <w:rFonts w:ascii="Times New Roman" w:cs="Times New Roman" w:eastAsia="Times New Roman" w:hAnsi="Times New Roman"/>
          <w:sz w:val="18"/>
          <w:szCs w:val="18"/>
          <w:color w:val="auto"/>
        </w:rPr>
        <w:t>(1,223,186)</w:t>
      </w:r>
      <w:r>
        <w:rPr>
          <w:sz w:val="20"/>
          <w:szCs w:val="20"/>
          <w:color w:val="auto"/>
        </w:rPr>
        <w:tab/>
      </w:r>
      <w:r>
        <w:rPr>
          <w:rFonts w:ascii="Times New Roman" w:cs="Times New Roman" w:eastAsia="Times New Roman" w:hAnsi="Times New Roman"/>
          <w:sz w:val="18"/>
          <w:szCs w:val="18"/>
          <w:color w:val="auto"/>
        </w:rPr>
        <w:t>(1,302,098)</w:t>
      </w:r>
    </w:p>
    <w:p>
      <w:pPr>
        <w:spacing w:after="0" w:line="41"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3,345,536</w:t>
      </w:r>
      <w:r>
        <w:rPr>
          <w:sz w:val="20"/>
          <w:szCs w:val="20"/>
          <w:color w:val="auto"/>
        </w:rPr>
        <w:tab/>
      </w:r>
      <w:r>
        <w:rPr>
          <w:rFonts w:ascii="Times New Roman" w:cs="Times New Roman" w:eastAsia="Times New Roman" w:hAnsi="Times New Roman"/>
          <w:sz w:val="18"/>
          <w:szCs w:val="18"/>
          <w:color w:val="auto"/>
        </w:rPr>
        <w:t>3,315,070</w:t>
      </w:r>
    </w:p>
    <w:p>
      <w:pPr>
        <w:spacing w:after="0" w:line="23" w:lineRule="exact"/>
        <w:rPr>
          <w:sz w:val="20"/>
          <w:szCs w:val="20"/>
          <w:color w:val="auto"/>
        </w:rPr>
      </w:pPr>
    </w:p>
    <w:p>
      <w:pPr>
        <w:ind w:left="760"/>
        <w:spacing w:after="0"/>
        <w:tabs>
          <w:tab w:leader="none" w:pos="2180" w:val="left"/>
        </w:tabs>
        <w:rPr>
          <w:sz w:val="20"/>
          <w:szCs w:val="20"/>
          <w:color w:val="auto"/>
        </w:rPr>
      </w:pPr>
      <w:r>
        <w:rPr>
          <w:rFonts w:ascii="Times New Roman" w:cs="Times New Roman" w:eastAsia="Times New Roman" w:hAnsi="Times New Roman"/>
          <w:sz w:val="18"/>
          <w:szCs w:val="18"/>
          <w:color w:val="auto"/>
        </w:rPr>
        <w:t>40,500</w:t>
      </w:r>
      <w:r>
        <w:rPr>
          <w:sz w:val="20"/>
          <w:szCs w:val="20"/>
          <w:color w:val="auto"/>
        </w:rPr>
        <w:tab/>
      </w:r>
      <w:r>
        <w:rPr>
          <w:rFonts w:ascii="Times New Roman" w:cs="Times New Roman" w:eastAsia="Times New Roman" w:hAnsi="Times New Roman"/>
          <w:sz w:val="18"/>
          <w:szCs w:val="18"/>
          <w:color w:val="auto"/>
        </w:rPr>
        <w:t>37,869</w:t>
      </w:r>
    </w:p>
    <w:p>
      <w:pPr>
        <w:spacing w:after="0" w:line="23"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2,796,745</w:t>
      </w:r>
      <w:r>
        <w:rPr>
          <w:sz w:val="20"/>
          <w:szCs w:val="20"/>
          <w:color w:val="auto"/>
        </w:rPr>
        <w:tab/>
      </w:r>
      <w:r>
        <w:rPr>
          <w:rFonts w:ascii="Times New Roman" w:cs="Times New Roman" w:eastAsia="Times New Roman" w:hAnsi="Times New Roman"/>
          <w:sz w:val="18"/>
          <w:szCs w:val="18"/>
          <w:color w:val="auto"/>
        </w:rPr>
        <w:t>4,699,089</w:t>
      </w:r>
    </w:p>
    <w:p>
      <w:pPr>
        <w:spacing w:after="0" w:line="23" w:lineRule="exact"/>
        <w:rPr>
          <w:sz w:val="20"/>
          <w:szCs w:val="20"/>
          <w:color w:val="auto"/>
        </w:rPr>
      </w:pPr>
    </w:p>
    <w:p>
      <w:pPr>
        <w:ind w:left="600"/>
        <w:spacing w:after="0"/>
        <w:tabs>
          <w:tab w:leader="none" w:pos="2020" w:val="left"/>
        </w:tabs>
        <w:rPr>
          <w:sz w:val="20"/>
          <w:szCs w:val="20"/>
          <w:color w:val="auto"/>
        </w:rPr>
      </w:pPr>
      <w:r>
        <w:rPr>
          <w:rFonts w:ascii="Times New Roman" w:cs="Times New Roman" w:eastAsia="Times New Roman" w:hAnsi="Times New Roman"/>
          <w:sz w:val="18"/>
          <w:szCs w:val="18"/>
          <w:color w:val="auto"/>
        </w:rPr>
        <w:t>(247,615)</w:t>
      </w:r>
      <w:r>
        <w:rPr>
          <w:sz w:val="20"/>
          <w:szCs w:val="20"/>
          <w:color w:val="auto"/>
        </w:rPr>
        <w:tab/>
      </w:r>
      <w:r>
        <w:rPr>
          <w:rFonts w:ascii="Times New Roman" w:cs="Times New Roman" w:eastAsia="Times New Roman" w:hAnsi="Times New Roman"/>
          <w:sz w:val="18"/>
          <w:szCs w:val="18"/>
          <w:color w:val="auto"/>
        </w:rPr>
        <w:t>(208,093)</w:t>
      </w:r>
    </w:p>
    <w:p>
      <w:pPr>
        <w:spacing w:after="0" w:line="247" w:lineRule="exact"/>
        <w:rPr>
          <w:sz w:val="20"/>
          <w:szCs w:val="20"/>
          <w:color w:val="auto"/>
        </w:rPr>
      </w:pPr>
    </w:p>
    <w:p>
      <w:pPr>
        <w:ind w:left="540"/>
        <w:spacing w:after="0"/>
        <w:tabs>
          <w:tab w:leader="none" w:pos="1960" w:val="left"/>
        </w:tabs>
        <w:rPr>
          <w:sz w:val="20"/>
          <w:szCs w:val="20"/>
          <w:color w:val="auto"/>
        </w:rPr>
      </w:pPr>
      <w:r>
        <w:rPr>
          <w:rFonts w:ascii="Times New Roman" w:cs="Times New Roman" w:eastAsia="Times New Roman" w:hAnsi="Times New Roman"/>
          <w:sz w:val="18"/>
          <w:szCs w:val="18"/>
          <w:color w:val="auto"/>
        </w:rPr>
        <w:t>4,711,990</w:t>
      </w:r>
      <w:r>
        <w:rPr>
          <w:sz w:val="20"/>
          <w:szCs w:val="20"/>
          <w:color w:val="auto"/>
        </w:rPr>
        <w:tab/>
      </w:r>
      <w:r>
        <w:rPr>
          <w:rFonts w:ascii="Times New Roman" w:cs="Times New Roman" w:eastAsia="Times New Roman" w:hAnsi="Times New Roman"/>
          <w:sz w:val="18"/>
          <w:szCs w:val="18"/>
          <w:color w:val="auto"/>
        </w:rPr>
        <w:t>6,541,847</w:t>
      </w:r>
    </w:p>
    <w:p>
      <w:pPr>
        <w:spacing w:after="0" w:line="252" w:lineRule="exact"/>
        <w:rPr>
          <w:sz w:val="20"/>
          <w:szCs w:val="20"/>
          <w:color w:val="auto"/>
        </w:rPr>
      </w:pPr>
    </w:p>
    <w:p>
      <w:pPr>
        <w:ind w:left="760"/>
        <w:spacing w:after="0"/>
        <w:tabs>
          <w:tab w:leader="none" w:pos="2180" w:val="left"/>
        </w:tabs>
        <w:rPr>
          <w:sz w:val="20"/>
          <w:szCs w:val="20"/>
          <w:color w:val="auto"/>
        </w:rPr>
      </w:pPr>
      <w:r>
        <w:rPr>
          <w:rFonts w:ascii="Times New Roman" w:cs="Times New Roman" w:eastAsia="Times New Roman" w:hAnsi="Times New Roman"/>
          <w:sz w:val="18"/>
          <w:szCs w:val="18"/>
          <w:color w:val="auto"/>
        </w:rPr>
        <w:t>47,768</w:t>
      </w:r>
      <w:r>
        <w:rPr>
          <w:sz w:val="20"/>
          <w:szCs w:val="20"/>
          <w:color w:val="auto"/>
        </w:rPr>
        <w:tab/>
      </w:r>
      <w:r>
        <w:rPr>
          <w:rFonts w:ascii="Times New Roman" w:cs="Times New Roman" w:eastAsia="Times New Roman" w:hAnsi="Times New Roman"/>
          <w:sz w:val="18"/>
          <w:szCs w:val="18"/>
          <w:color w:val="auto"/>
        </w:rPr>
        <w:t>34,850</w:t>
      </w:r>
    </w:p>
    <w:p>
      <w:pPr>
        <w:spacing w:after="0" w:line="252"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4,759,758</w:t>
      </w:r>
      <w:r>
        <w:rPr>
          <w:sz w:val="20"/>
          <w:szCs w:val="20"/>
          <w:color w:val="auto"/>
        </w:rPr>
        <w:tab/>
      </w:r>
      <w:r>
        <w:rPr>
          <w:rFonts w:ascii="Times New Roman" w:cs="Times New Roman" w:eastAsia="Times New Roman" w:hAnsi="Times New Roman"/>
          <w:sz w:val="18"/>
          <w:szCs w:val="18"/>
          <w:color w:val="auto"/>
        </w:rPr>
        <w:t>6,576,697</w:t>
      </w:r>
    </w:p>
    <w:p>
      <w:pPr>
        <w:spacing w:after="0" w:line="279"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7,527,797</w:t>
      </w:r>
      <w:r>
        <w:rPr>
          <w:sz w:val="20"/>
          <w:szCs w:val="20"/>
          <w:color w:val="auto"/>
        </w:rPr>
        <w:tab/>
      </w:r>
      <w:r>
        <w:rPr>
          <w:rFonts w:ascii="Times New Roman" w:cs="Times New Roman" w:eastAsia="Times New Roman" w:hAnsi="Times New Roman"/>
          <w:sz w:val="18"/>
          <w:szCs w:val="18"/>
          <w:color w:val="auto"/>
        </w:rPr>
        <w:t>7,552,488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7056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20" w:space="120"/>
            <w:col w:w="2760"/>
          </w:cols>
          <w:pgMar w:left="320" w:top="900" w:right="379" w:bottom="1440" w:gutter="0" w:footer="0" w:header="0"/>
          <w:type w:val="continuous"/>
        </w:sectPr>
      </w:pPr>
    </w:p>
    <w:p>
      <w:pPr>
        <w:spacing w:after="0" w:line="93" w:lineRule="exact"/>
        <w:rPr>
          <w:sz w:val="20"/>
          <w:szCs w:val="20"/>
          <w:color w:val="auto"/>
        </w:rPr>
      </w:pPr>
    </w:p>
    <w:p>
      <w:pPr>
        <w:ind w:left="340" w:right="60" w:hanging="332"/>
        <w:spacing w:after="0" w:line="258"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JOYY has ceased consolidation of YY Live business since February 8, 2021 and classified and presented all the related assets and liabilities related to YY Live business on a net basis within prepayments and other current assets. The consideration received by the Company remains within cash and cash equivalents, restricted cash and cash equivalents, and short-term deposits as of December 31, 2024. Correspondingly, the advanced payments received have been recorded as accrued liabilities and other current liabilities on the Company’s consolidated balance sheet as of December 31, 2024. On February 25, 2025, the Company entered into agreements with Baidu and closed the sale of YY Live to Baidu.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00"/>
          </w:cols>
          <w:pgMar w:left="320" w:top="900"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7" w:lineRule="auto"/>
        <w:rPr>
          <w:sz w:val="20"/>
          <w:szCs w:val="20"/>
          <w:color w:val="auto"/>
        </w:rPr>
      </w:pPr>
      <w:r>
        <w:rPr>
          <w:rFonts w:ascii="Times New Roman" w:cs="Times New Roman" w:eastAsia="Times New Roman" w:hAnsi="Times New Roman"/>
          <w:sz w:val="18"/>
          <w:szCs w:val="18"/>
          <w:color w:val="auto"/>
        </w:rPr>
        <w:t>Live streaming</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56" w:lineRule="exact"/>
        <w:rPr>
          <w:sz w:val="20"/>
          <w:szCs w:val="20"/>
          <w:color w:val="auto"/>
        </w:rPr>
      </w:pPr>
    </w:p>
    <w:p>
      <w:pPr>
        <w:ind w:right="1640"/>
        <w:spacing w:after="0" w:line="297" w:lineRule="auto"/>
        <w:rPr>
          <w:sz w:val="20"/>
          <w:szCs w:val="20"/>
          <w:color w:val="auto"/>
        </w:rPr>
      </w:pPr>
      <w:r>
        <w:rPr>
          <w:rFonts w:ascii="Times New Roman" w:cs="Times New Roman" w:eastAsia="Times New Roman" w:hAnsi="Times New Roman"/>
          <w:sz w:val="18"/>
          <w:szCs w:val="18"/>
          <w:color w:val="auto"/>
        </w:rPr>
        <w:t>Gain on disposal of subsidiary Other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7"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8"/>
          <w:szCs w:val="18"/>
          <w:color w:val="auto"/>
        </w:rPr>
        <w:t>Interest income and investment income Foreign currency exchange gains (losses), net (Loss) gain on fair value change of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248" w:lineRule="exact"/>
        <w:rPr>
          <w:sz w:val="20"/>
          <w:szCs w:val="20"/>
          <w:color w:val="auto"/>
        </w:rPr>
      </w:pPr>
    </w:p>
    <w:p>
      <w:pPr>
        <w:ind w:left="180" w:right="60" w:hanging="161"/>
        <w:spacing w:after="0" w:line="317" w:lineRule="auto"/>
        <w:rPr>
          <w:sz w:val="20"/>
          <w:szCs w:val="20"/>
          <w:color w:val="auto"/>
        </w:rPr>
      </w:pPr>
      <w:r>
        <w:rPr>
          <w:rFonts w:ascii="Times New Roman" w:cs="Times New Roman" w:eastAsia="Times New Roman" w:hAnsi="Times New Roman"/>
          <w:sz w:val="17"/>
          <w:szCs w:val="17"/>
          <w:b w:val="1"/>
          <w:bCs w:val="1"/>
          <w:color w:val="auto"/>
        </w:rPr>
        <w:t>(Loss) income before share of (loss) income in equity method investments, net of income taxes</w:t>
      </w:r>
    </w:p>
    <w:p>
      <w:pPr>
        <w:spacing w:after="0" w:line="163"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Share of (loss) income in equity method investments, net of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 from continuing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w:t>
      </w:r>
    </w:p>
    <w:p>
      <w:pPr>
        <w:spacing w:after="0" w:line="256" w:lineRule="exact"/>
        <w:rPr>
          <w:sz w:val="20"/>
          <w:szCs w:val="20"/>
          <w:color w:val="auto"/>
        </w:rPr>
      </w:pPr>
    </w:p>
    <w:p>
      <w:pPr>
        <w:jc w:val="both"/>
        <w:ind w:left="180" w:right="160" w:hanging="161"/>
        <w:spacing w:after="0" w:line="266" w:lineRule="auto"/>
        <w:rPr>
          <w:sz w:val="20"/>
          <w:szCs w:val="20"/>
          <w:color w:val="auto"/>
        </w:rPr>
      </w:pPr>
      <w:r>
        <w:rPr>
          <w:rFonts w:ascii="Times New Roman" w:cs="Times New Roman" w:eastAsia="Times New Roman" w:hAnsi="Times New Roman"/>
          <w:sz w:val="18"/>
          <w:szCs w:val="18"/>
          <w:color w:val="auto"/>
        </w:rPr>
        <w:t>Net loss attributable to the non-controlling interest shareholders and the mezzanine equity classified non-controlling interest shareholders</w:t>
      </w:r>
    </w:p>
    <w:p>
      <w:pPr>
        <w:spacing w:after="0" w:line="185" w:lineRule="exact"/>
        <w:rPr>
          <w:sz w:val="20"/>
          <w:szCs w:val="20"/>
          <w:color w:val="auto"/>
        </w:rPr>
      </w:pPr>
    </w:p>
    <w:p>
      <w:pPr>
        <w:ind w:left="180" w:right="4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Net (loss) income attributable to controlling interest of JOYY 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4"/>
        </w:trPr>
        <w:tc>
          <w:tcPr>
            <w:tcW w:w="1480" w:type="dxa"/>
            <w:vAlign w:val="bottom"/>
            <w:tcBorders>
              <w:top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18"/>
                <w:szCs w:val="18"/>
                <w:color w:val="auto"/>
              </w:rPr>
            </w:pPr>
          </w:p>
        </w:tc>
      </w:t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20"/>
                <w:szCs w:val="20"/>
                <w:color w:val="auto"/>
              </w:rPr>
            </w:pPr>
          </w:p>
        </w:tc>
      </w:tr>
      <w:tr>
        <w:trPr>
          <w:trHeight w:val="22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40" w:type="dxa"/>
            <w:vAlign w:val="bottom"/>
          </w:tcPr>
          <w:p>
            <w:pPr>
              <w:spacing w:after="0"/>
              <w:rPr>
                <w:sz w:val="19"/>
                <w:szCs w:val="19"/>
                <w:color w:val="auto"/>
              </w:rPr>
            </w:pPr>
          </w:p>
        </w:tc>
      </w:tr>
      <w:tr>
        <w:trPr>
          <w:trHeight w:val="476"/>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422,418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388,474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394,436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1,788,021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1,529,667</w:t>
            </w:r>
          </w:p>
        </w:tc>
        <w:tc>
          <w:tcPr>
            <w:tcW w:w="40" w:type="dxa"/>
            <w:vAlign w:val="bottom"/>
          </w:tcPr>
          <w:p>
            <w:pPr>
              <w:spacing w:after="0"/>
              <w:rPr>
                <w:sz w:val="24"/>
                <w:szCs w:val="24"/>
                <w:color w:val="auto"/>
              </w:rPr>
            </w:pPr>
          </w:p>
        </w:tc>
      </w:tr>
      <w:tr>
        <w:trPr>
          <w:trHeight w:val="230"/>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89,570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323,013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442,718</w:t>
            </w:r>
          </w:p>
        </w:tc>
        <w:tc>
          <w:tcPr>
            <w:tcW w:w="40" w:type="dxa"/>
            <w:vAlign w:val="bottom"/>
          </w:tcPr>
          <w:p>
            <w:pPr>
              <w:spacing w:after="0"/>
              <w:rPr>
                <w:sz w:val="19"/>
                <w:szCs w:val="19"/>
                <w:color w:val="auto"/>
              </w:rPr>
            </w:pPr>
          </w:p>
        </w:tc>
      </w:tr>
      <w:tr>
        <w:trPr>
          <w:trHeight w:val="234"/>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37,458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126,754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151,863</w:t>
            </w:r>
          </w:p>
        </w:tc>
        <w:tc>
          <w:tcPr>
            <w:tcW w:w="40" w:type="dxa"/>
            <w:vAlign w:val="bottom"/>
          </w:tcPr>
          <w:p>
            <w:pPr>
              <w:spacing w:after="0"/>
              <w:rPr>
                <w:sz w:val="20"/>
                <w:szCs w:val="20"/>
                <w:color w:val="auto"/>
              </w:rPr>
            </w:pPr>
          </w:p>
        </w:tc>
      </w:tr>
      <w:tr>
        <w:trPr>
          <w:trHeight w:val="459"/>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549,446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540,221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581,916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2,237,788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2,124,248</w:t>
            </w:r>
          </w:p>
        </w:tc>
        <w:tc>
          <w:tcPr>
            <w:tcW w:w="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(345,663)</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(347,090)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(376,275)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(1,431,585)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(1,361,616)</w:t>
            </w:r>
          </w:p>
        </w:tc>
      </w:tr>
      <w:tr>
        <w:trPr>
          <w:trHeight w:val="459"/>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203,783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193,131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205,641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806,203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762,632</w:t>
            </w:r>
          </w:p>
        </w:tc>
        <w:tc>
          <w:tcPr>
            <w:tcW w:w="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1"/>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(67,485)</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(63,094)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(61,538)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(278,740)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(247,133)</w:t>
            </w:r>
          </w:p>
        </w:tc>
      </w:tr>
      <w:tr>
        <w:trPr>
          <w:trHeight w:val="22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(67,040)</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(72,072)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(81,415)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(333,334)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(297,470)</w:t>
            </w:r>
          </w:p>
        </w:tc>
      </w:tr>
      <w:tr>
        <w:trPr>
          <w:trHeight w:val="22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(44,015)</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(39,050)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(44,867)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(152,517)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(164,529)</w:t>
            </w:r>
          </w:p>
        </w:tc>
      </w:tr>
      <w:tr>
        <w:trPr>
          <w:trHeight w:val="248"/>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(454,935)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(454,935)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45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(633,475)</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(174,216)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(187,820)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(1,219,526)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(709,132)</w:t>
            </w: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4"/>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34"/>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1,839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40" w:type="dxa"/>
            <w:vAlign w:val="bottom"/>
          </w:tcPr>
          <w:p>
            <w:pPr>
              <w:spacing w:after="0"/>
              <w:rPr>
                <w:sz w:val="20"/>
                <w:szCs w:val="20"/>
                <w:color w:val="auto"/>
              </w:rPr>
            </w:pPr>
          </w:p>
        </w:tc>
      </w:tr>
      <w:tr>
        <w:trPr>
          <w:trHeight w:val="45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(427,853)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(405,625)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55,820</w:t>
            </w:r>
          </w:p>
        </w:tc>
      </w:tr>
      <w:tr>
        <w:trPr>
          <w:trHeight w:val="454"/>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9"/>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38,860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40,873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175,556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162,607</w:t>
            </w:r>
          </w:p>
        </w:tc>
        <w:tc>
          <w:tcPr>
            <w:tcW w:w="40" w:type="dxa"/>
            <w:vAlign w:val="bottom"/>
          </w:tcPr>
          <w:p>
            <w:pPr>
              <w:spacing w:after="0"/>
              <w:rPr>
                <w:sz w:val="19"/>
                <w:szCs w:val="19"/>
                <w:color w:val="auto"/>
              </w:rPr>
            </w:pPr>
          </w:p>
        </w:tc>
      </w:tr>
      <w:tr>
        <w:trPr>
          <w:trHeight w:val="230"/>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9,613</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(14,111)</w:t>
            </w:r>
          </w:p>
        </w:tc>
      </w:tr>
      <w:tr>
        <w:trPr>
          <w:trHeight w:val="234"/>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(3,011)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12,320</w:t>
            </w:r>
          </w:p>
        </w:tc>
      </w:tr>
      <w:tr>
        <w:trPr>
          <w:trHeight w:val="45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(382,703)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(227,516)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216,120</w:t>
            </w:r>
          </w:p>
        </w:tc>
        <w:tc>
          <w:tcPr>
            <w:tcW w:w="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(16,429)</w:t>
            </w:r>
          </w:p>
        </w:tc>
      </w:tr>
      <w:tr>
        <w:trPr>
          <w:trHeight w:val="675"/>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(382,744)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39,317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(241,001)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199,691</w:t>
            </w:r>
          </w:p>
        </w:tc>
        <w:tc>
          <w:tcPr>
            <w:tcW w:w="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(3,793)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40" w:type="dxa"/>
            <w:vAlign w:val="bottom"/>
          </w:tcPr>
          <w:p>
            <w:pPr>
              <w:spacing w:after="0"/>
              <w:rPr>
                <w:sz w:val="24"/>
                <w:szCs w:val="24"/>
                <w:color w:val="auto"/>
              </w:rPr>
            </w:pPr>
          </w:p>
        </w:tc>
      </w:tr>
      <w:tr>
        <w:trPr>
          <w:trHeight w:val="45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(386,537)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(242,638)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211,301</w:t>
            </w: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1,875,921</w:t>
            </w:r>
          </w:p>
        </w:tc>
        <w:tc>
          <w:tcPr>
            <w:tcW w:w="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(386,537)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(242,638)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2,087,222</w:t>
            </w:r>
          </w:p>
        </w:tc>
        <w:tc>
          <w:tcPr>
            <w:tcW w:w="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58"/>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82,392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96,402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40" w:type="dxa"/>
            <w:vAlign w:val="bottom"/>
          </w:tcPr>
          <w:p>
            <w:pPr>
              <w:spacing w:after="0"/>
              <w:rPr>
                <w:sz w:val="24"/>
                <w:szCs w:val="24"/>
                <w:color w:val="auto"/>
              </w:rPr>
            </w:pPr>
          </w:p>
        </w:tc>
      </w:tr>
      <w:tr>
        <w:trPr>
          <w:trHeight w:val="675"/>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(304,145)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54,327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(146,236)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2,098,435</w:t>
            </w:r>
          </w:p>
        </w:tc>
        <w:tc>
          <w:tcPr>
            <w:tcW w:w="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-7491730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-7174230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-6882765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-6591300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-6274435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-5982970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-5665470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-5374005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-5082540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-4791075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-4499610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-4208145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-3916680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-3625215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-3333750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-3042285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-2750820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-2322195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-1893570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-1602105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-1285240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-993775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-436245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-8255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3840" w:space="240"/>
            <w:col w:w="7120"/>
          </w:cols>
          <w:pgMar w:left="320" w:top="900" w:right="379" w:bottom="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Including</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-88900</wp:posOffset>
            </wp:positionV>
            <wp:extent cx="43180" cy="88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16" w:lineRule="exact"/>
        <w:rPr>
          <w:sz w:val="20"/>
          <w:szCs w:val="20"/>
          <w:color w:val="auto"/>
        </w:rPr>
      </w:pPr>
    </w:p>
    <w:p>
      <w:pPr>
        <w:ind w:left="180" w:right="100" w:hanging="161"/>
        <w:spacing w:after="0" w:line="278" w:lineRule="auto"/>
        <w:rPr>
          <w:sz w:val="20"/>
          <w:szCs w:val="20"/>
          <w:color w:val="auto"/>
        </w:rPr>
      </w:pPr>
      <w:r>
        <w:rPr>
          <w:rFonts w:ascii="Times New Roman" w:cs="Times New Roman" w:eastAsia="Times New Roman" w:hAnsi="Times New Roman"/>
          <w:sz w:val="17"/>
          <w:szCs w:val="17"/>
          <w:b w:val="1"/>
          <w:bCs w:val="1"/>
          <w:color w:val="auto"/>
        </w:rPr>
        <w:t>Net (loss) income from continuing operations attributable to controlling interest of JOYY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(304,145)</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61,960</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54,327</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(146,236)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222,514</w:t>
            </w:r>
          </w:p>
        </w:tc>
      </w:tr>
      <w:tr>
        <w:trPr>
          <w:trHeight w:val="270"/>
        </w:trPr>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-453390</wp:posOffset>
            </wp:positionV>
            <wp:extent cx="713232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3960" w:space="720"/>
            <w:col w:w="6520"/>
          </w:cols>
          <w:pgMar w:left="320" w:top="900" w:right="37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subsidiaries’ redeemable convertible</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to redemption value</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(347)</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(347)</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(346)</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00"/>
          </w:cols>
          <w:pgMar w:left="320" w:top="900" w:right="37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(304,492)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53,981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(147,624)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2,097,048</w:t>
            </w:r>
          </w:p>
        </w:tc>
      </w:tr>
      <w:tr>
        <w:trPr>
          <w:trHeight w:val="245"/>
        </w:trPr>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of JOYY Inc.</w:t>
            </w:r>
          </w:p>
        </w:tc>
        <w:tc>
          <w:tcPr>
            <w:tcW w:w="124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4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Including</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-94615</wp:posOffset>
            </wp:positionV>
            <wp:extent cx="43180" cy="88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7" w:lineRule="exact"/>
        <w:rPr>
          <w:sz w:val="20"/>
          <w:szCs w:val="20"/>
          <w:color w:val="auto"/>
        </w:rPr>
      </w:pPr>
    </w:p>
    <w:p>
      <w:pPr>
        <w:ind w:left="180" w:right="200" w:hanging="161"/>
        <w:spacing w:after="0" w:line="259" w:lineRule="auto"/>
        <w:rPr>
          <w:sz w:val="20"/>
          <w:szCs w:val="20"/>
          <w:color w:val="auto"/>
        </w:rPr>
      </w:pPr>
      <w:r>
        <w:rPr>
          <w:rFonts w:ascii="Times New Roman" w:cs="Times New Roman" w:eastAsia="Times New Roman" w:hAnsi="Times New Roman"/>
          <w:sz w:val="18"/>
          <w:szCs w:val="18"/>
          <w:b w:val="1"/>
          <w:bCs w:val="1"/>
          <w:color w:val="auto"/>
        </w:rPr>
        <w:t>Net (loss) income from continuing operations attributable to common shareholders of JOYY Inc.</w:t>
      </w:r>
    </w:p>
    <w:p>
      <w:pPr>
        <w:spacing w:after="0"/>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(304,492)</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61,613</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53,981</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(147,624)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221,127</w:t>
            </w:r>
          </w:p>
        </w:tc>
      </w:tr>
      <w:tr>
        <w:trPr>
          <w:trHeight w:val="270"/>
        </w:trPr>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-591185</wp:posOffset>
            </wp:positionV>
            <wp:extent cx="7132320" cy="420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428625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960" w:space="720"/>
            <w:col w:w="6560"/>
          </w:cols>
          <w:pgMar w:left="320" w:top="117"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(CONTINUED)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 per ADS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43" w:lineRule="exact"/>
        <w:rPr>
          <w:sz w:val="20"/>
          <w:szCs w:val="20"/>
          <w:color w:val="auto"/>
        </w:rPr>
      </w:pPr>
    </w:p>
    <w:p>
      <w:pPr>
        <w:ind w:left="180" w:right="720" w:hanging="16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Weighted average number of ADS used in calculating net (loss) income per ADS </w:t>
      </w:r>
      <w:r>
        <w:rPr>
          <w:rFonts w:ascii="Times New Roman" w:cs="Times New Roman" w:eastAsia="Times New Roman" w:hAnsi="Times New Roman"/>
          <w:sz w:val="18"/>
          <w:szCs w:val="18"/>
          <w:color w:val="auto"/>
        </w:rPr>
        <w:t>——Basic</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61"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by geographical areas were as follows: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4"/>
        </w:trPr>
        <w:tc>
          <w:tcPr>
            <w:tcW w:w="1480" w:type="dxa"/>
            <w:vAlign w:val="bottom"/>
            <w:tcBorders>
              <w:top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r>
      <w:tr>
        <w:trPr>
          <w:trHeight w:val="22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9"/>
                <w:szCs w:val="19"/>
                <w:color w:val="auto"/>
              </w:rPr>
            </w:pPr>
          </w:p>
        </w:tc>
      </w:tr>
      <w:tr>
        <w:trPr>
          <w:trHeight w:val="436"/>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39.86</w:t>
            </w:r>
          </w:p>
        </w:tc>
      </w:tr>
      <w:tr>
        <w:trPr>
          <w:trHeight w:val="22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35.66</w:t>
            </w:r>
          </w:p>
        </w:tc>
      </w:tr>
      <w:tr>
        <w:trPr>
          <w:trHeight w:val="22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39.37</w:t>
            </w:r>
          </w:p>
        </w:tc>
      </w:tr>
      <w:tr>
        <w:trPr>
          <w:trHeight w:val="229"/>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r>
      <w:tr>
        <w:trPr>
          <w:trHeight w:val="234"/>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35.22</w:t>
            </w:r>
          </w:p>
        </w:tc>
      </w:tr>
      <w:tr>
        <w:trPr>
          <w:trHeight w:val="900"/>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53,737,863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52,557,478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51,794,999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57,892,728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52,604,993</w:t>
            </w:r>
          </w:p>
        </w:tc>
      </w:tr>
      <w:tr>
        <w:trPr>
          <w:trHeight w:val="234"/>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53,737,863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53,354,913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52,629,562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57,892,728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53,262,375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-1739265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-1447800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-1156970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-864870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-573405</wp:posOffset>
            </wp:positionV>
            <wp:extent cx="7132320" cy="283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-144780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3940" w:space="140"/>
            <w:col w:w="7160"/>
          </w:cols>
          <w:pgMar w:left="320" w:top="900" w:right="339" w:bottom="144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4"/>
        </w:trPr>
        <w:tc>
          <w:tcPr>
            <w:tcW w:w="4080" w:type="dxa"/>
            <w:vAlign w:val="bottom"/>
          </w:tcPr>
          <w:p>
            <w:pPr>
              <w:spacing w:after="0"/>
              <w:rPr>
                <w:sz w:val="18"/>
                <w:szCs w:val="18"/>
                <w:color w:val="auto"/>
              </w:rPr>
            </w:pPr>
          </w:p>
        </w:tc>
        <w:tc>
          <w:tcPr>
            <w:tcW w:w="12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countries and regions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302,911</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356,624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1,206,679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1,250,411</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Middle East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77,708</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57,404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317,848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244,222</w:t>
            </w: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53,221</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233,578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208,722</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 and others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115,606</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108,561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479,683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420,893</w:t>
            </w:r>
          </w:p>
        </w:tc>
      </w:tr>
    </w:tbl>
    <w:p>
      <w:pPr>
        <w:spacing w:after="0" w:line="220" w:lineRule="exact"/>
        <w:rPr>
          <w:sz w:val="20"/>
          <w:szCs w:val="20"/>
          <w:color w:val="auto"/>
        </w:rPr>
      </w:pPr>
    </w:p>
    <w:p>
      <w:pPr>
        <w:ind w:left="660" w:right="80" w:hanging="65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Developed countries and region mainly included the United States of America, Singapore, Japan, South Korea and Great Britain. Middle East mainly included Saudi Arabia and other countries located in the region. Southeast Asia and others mainly included Indonesia, Vietnam and rest of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4"/>
        </w:trPr>
        <w:tc>
          <w:tcPr>
            <w:tcW w:w="12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r>
      <w:tr>
        <w:trPr>
          <w:trHeight w:val="23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r>
      <w:tr>
        <w:trPr>
          <w:trHeight w:val="205"/>
        </w:trPr>
        <w:tc>
          <w:tcPr>
            <w:tcW w:w="12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7"/>
                <w:szCs w:val="17"/>
                <w:color w:val="auto"/>
              </w:rPr>
            </w:pPr>
          </w:p>
        </w:tc>
      </w:tr>
      <w:tr>
        <w:trPr>
          <w:trHeight w:val="229"/>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3,927</w:t>
            </w:r>
          </w:p>
        </w:tc>
      </w:tr>
      <w:tr>
        <w:trPr>
          <w:trHeight w:val="230"/>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2,774</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9,418</w:t>
            </w:r>
          </w:p>
        </w:tc>
      </w:tr>
      <w:tr>
        <w:trPr>
          <w:trHeight w:val="229"/>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r>
      <w:tr>
        <w:trPr>
          <w:trHeight w:val="234"/>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2,554</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-582295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-290830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160"/>
          </w:cols>
          <w:pgMar w:left="320" w:top="914" w:right="339" w:bottom="1440" w:gutter="0" w:footer="0" w:header="0"/>
        </w:sectPr>
      </w:pPr>
    </w:p>
    <w:p>
      <w:pPr>
        <w:spacing w:after="0" w:line="25"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from disposal of YY Live amounted to approximately US$ 1.9 billion, which was reported as part of the net income from discontinued operations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7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from business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acquisitions</w:t>
      </w:r>
    </w:p>
    <w:p>
      <w:pPr>
        <w:spacing w:after="0" w:line="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Impairment of goodwill and investments Gain on disposal of subsidiary</w:t>
      </w:r>
    </w:p>
    <w:p>
      <w:pPr>
        <w:ind w:right="8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Non-GAAP operating income </w:t>
      </w:r>
      <w:r>
        <w:rPr>
          <w:rFonts w:ascii="Times New Roman" w:cs="Times New Roman" w:eastAsia="Times New Roman" w:hAnsi="Times New Roman"/>
          <w:sz w:val="18"/>
          <w:szCs w:val="18"/>
          <w:color w:val="auto"/>
        </w:rPr>
        <w:t>Depreciation and other amortization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EBITDA</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4"/>
        </w:trPr>
        <w:tc>
          <w:tcPr>
            <w:tcW w:w="1480" w:type="dxa"/>
            <w:vAlign w:val="bottom"/>
            <w:tcBorders>
              <w:top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gridSpan w:val="2"/>
          </w:tcPr>
          <w:p>
            <w:pPr>
              <w:spacing w:after="0"/>
              <w:rPr>
                <w:sz w:val="18"/>
                <w:szCs w:val="18"/>
                <w:color w:val="auto"/>
              </w:rPr>
            </w:pPr>
          </w:p>
        </w:tc>
      </w:t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40" w:type="dxa"/>
            <w:vAlign w:val="bottom"/>
            <w:gridSpan w:val="2"/>
          </w:tcPr>
          <w:p>
            <w:pPr>
              <w:spacing w:after="0"/>
              <w:rPr>
                <w:sz w:val="17"/>
                <w:szCs w:val="17"/>
                <w:color w:val="auto"/>
              </w:rPr>
            </w:pPr>
          </w:p>
        </w:tc>
      </w:tr>
      <w:tr>
        <w:trPr>
          <w:trHeight w:val="230"/>
        </w:trPr>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(427,853)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(405,625)</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55,820</w:t>
            </w:r>
          </w:p>
        </w:tc>
      </w:tr>
      <w:tr>
        <w:trPr>
          <w:trHeight w:val="234"/>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5,806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25,800</w:t>
            </w:r>
          </w:p>
        </w:tc>
      </w:tr>
      <w:tr>
        <w:trPr>
          <w:trHeight w:val="441"/>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13,540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55,802</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54,160</w:t>
            </w:r>
          </w:p>
        </w:tc>
      </w:tr>
      <w:tr>
        <w:trPr>
          <w:trHeight w:val="230"/>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454,935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464,321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25"/>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8"/>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46,428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40,650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40,843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136,055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150,780</w:t>
            </w:r>
          </w:p>
        </w:tc>
        <w:tc>
          <w:tcPr>
            <w:tcW w:w="20" w:type="dxa"/>
            <w:vAlign w:val="bottom"/>
          </w:tcPr>
          <w:p>
            <w:pPr>
              <w:spacing w:after="0"/>
              <w:rPr>
                <w:sz w:val="20"/>
                <w:szCs w:val="20"/>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2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35,103</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38,972</w:t>
            </w:r>
          </w:p>
        </w:tc>
        <w:tc>
          <w:tcPr>
            <w:tcW w:w="20" w:type="dxa"/>
            <w:vAlign w:val="bottom"/>
          </w:tcPr>
          <w:p>
            <w:pPr>
              <w:spacing w:after="0"/>
              <w:rPr>
                <w:sz w:val="18"/>
                <w:szCs w:val="18"/>
                <w:color w:val="auto"/>
              </w:rPr>
            </w:pPr>
          </w:p>
        </w:tc>
      </w:tr>
      <w:tr>
        <w:trPr>
          <w:trHeight w:val="250"/>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55,724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50,555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50,617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171,158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189,752</w:t>
            </w:r>
          </w:p>
        </w:tc>
        <w:tc>
          <w:tcPr>
            <w:tcW w:w="20" w:type="dxa"/>
            <w:vAlign w:val="bottom"/>
          </w:tcPr>
          <w:p>
            <w:pPr>
              <w:spacing w:after="0"/>
              <w:rPr>
                <w:sz w:val="21"/>
                <w:szCs w:val="2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-1353820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-1062355</wp:posOffset>
            </wp:positionV>
            <wp:extent cx="7132320" cy="282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-633730</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-342265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40" w:space="640"/>
            <w:col w:w="7160"/>
          </w:cols>
          <w:pgMar w:left="320" w:top="900" w:right="339" w:bottom="703"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(386,537)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211,301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5,806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from business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13,540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54,160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investments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454,935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464,321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fair value change of investments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3,011</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(12,320)</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expenses related to the convertible bonds’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to face value</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Reconciling items on the share of equity method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3,802</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(13,483)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(14,673)</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vMerge w:val="continue"/>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94,130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70,142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67,850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285,104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274,297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shareholders of JOYY Inc.</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(304,492)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53,981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221,127</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5,806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from business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13,540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55,802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54,160</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investments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454,935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464,321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fair value change of investments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3,011</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(12,320)</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expenses related to the convertible bonds’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to face value</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cumulative dividend and deemed dividend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subsidiaries’ preferred shareholders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Reconciling items on the share of equity method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3,802</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(13,483)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(14,673)</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adjustments for net loss attributable to the</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(80,434)</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(83,008)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174"/>
        </w:trPr>
        <w:tc>
          <w:tcPr>
            <w:tcW w:w="40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controlling interest and common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of JOYY Inc.</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96,088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72,423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70,270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298,498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282,845</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900" w:right="339" w:bottom="703" w:gutter="0" w:footer="0" w:header="0"/>
          <w:type w:val="continuous"/>
        </w:sect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43" w:lineRule="exact"/>
        <w:rPr>
          <w:sz w:val="20"/>
          <w:szCs w:val="20"/>
          <w:color w:val="auto"/>
        </w:rPr>
      </w:pPr>
    </w:p>
    <w:p>
      <w:pPr>
        <w:jc w:val="both"/>
        <w:ind w:left="180" w:right="560" w:hanging="161"/>
        <w:spacing w:after="0" w:line="259" w:lineRule="auto"/>
        <w:rPr>
          <w:sz w:val="20"/>
          <w:szCs w:val="20"/>
          <w:color w:val="auto"/>
        </w:rPr>
      </w:pPr>
      <w:r>
        <w:rPr>
          <w:rFonts w:ascii="Times New Roman" w:cs="Times New Roman" w:eastAsia="Times New Roman" w:hAnsi="Times New Roman"/>
          <w:sz w:val="18"/>
          <w:szCs w:val="18"/>
          <w:b w:val="1"/>
          <w:bCs w:val="1"/>
          <w:color w:val="auto"/>
        </w:rPr>
        <w:t>Weighted average number of ADS used in calculating Non-GAAP net income from continuing operations per ADS</w:t>
      </w: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230"/>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1.79</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1.38</w:t>
            </w: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1.36</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5.16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4"/>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1.77</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1.36</w:t>
            </w: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1.34</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4.96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-145415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145415</wp:posOffset>
            </wp:positionV>
            <wp:extent cx="7132320" cy="419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53,737,863</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52,557,478</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51,794,999</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57,892,728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52,604,993</w:t>
            </w:r>
          </w:p>
        </w:tc>
      </w:tr>
      <w:tr>
        <w:trPr>
          <w:trHeight w:val="234"/>
        </w:trPr>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54,263,057</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53,354,913</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52,629,562</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60,654,393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53,262,375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-145415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428625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800" w:space="720"/>
            <w:col w:w="6720"/>
          </w:cols>
          <w:pgMar w:left="320" w:top="900" w:right="339" w:bottom="703" w:gutter="0" w:footer="0" w:header="0"/>
          <w:type w:val="continuous"/>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losses,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fair value change of investments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benefits</w:t>
      </w:r>
    </w:p>
    <w:p>
      <w:pPr>
        <w:spacing w:after="0" w:line="248" w:lineRule="exact"/>
        <w:rPr>
          <w:sz w:val="20"/>
          <w:szCs w:val="20"/>
          <w:color w:val="auto"/>
        </w:r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Income (loss) before share of income in equity method investments, net of income taxes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35572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2025</w:t>
      </w:r>
    </w:p>
    <w:tbl>
      <w:tblPr>
        <w:tblLayout w:type="fixed"/>
        <w:tblInd w:w="0" w:type="dxa"/>
        <w:tblCellMar>
          <w:top w:w="0" w:type="dxa"/>
          <w:left w:w="0" w:type="dxa"/>
          <w:bottom w:w="0" w:type="dxa"/>
          <w:right w:w="0" w:type="dxa"/>
        </w:tblCellMar>
      </w:tblPr>
      <w:tr>
        <w:trPr>
          <w:trHeight w:val="279"/>
        </w:trPr>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gridSpan w:val="2"/>
          </w:tcPr>
          <w:p>
            <w:pPr>
              <w:jc w:val="center"/>
              <w:ind w:right="200"/>
              <w:spacing w:after="0" w:line="278" w:lineRule="exact"/>
              <w:rPr>
                <w:sz w:val="20"/>
                <w:szCs w:val="20"/>
                <w:color w:val="auto"/>
              </w:rPr>
            </w:pPr>
            <w:r>
              <w:rPr>
                <w:rFonts w:ascii="Times New Roman" w:cs="Times New Roman" w:eastAsia="Times New Roman" w:hAnsi="Times New Roman"/>
                <w:sz w:val="18"/>
                <w:szCs w:val="18"/>
                <w:b w:val="1"/>
                <w:bCs w:val="1"/>
                <w:color w:val="auto"/>
                <w:w w:val="95"/>
              </w:rPr>
              <w:t>Elimination</w:t>
            </w:r>
            <w:r>
              <w:rPr>
                <w:rFonts w:ascii="Times New Roman" w:cs="Times New Roman" w:eastAsia="Times New Roman" w:hAnsi="Times New Roman"/>
                <w:sz w:val="29"/>
                <w:szCs w:val="29"/>
                <w:b w:val="1"/>
                <w:bCs w:val="1"/>
                <w:color w:val="auto"/>
                <w:w w:val="95"/>
                <w:vertAlign w:val="superscript"/>
              </w:rPr>
              <w:t>(1)</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US$</w:t>
            </w:r>
          </w:p>
        </w:tc>
        <w:tc>
          <w:tcPr>
            <w:tcW w:w="40" w:type="dxa"/>
            <w:vAlign w:val="bottom"/>
          </w:tcPr>
          <w:p>
            <w:pPr>
              <w:spacing w:after="0"/>
              <w:rPr>
                <w:sz w:val="19"/>
                <w:szCs w:val="19"/>
                <w:color w:val="auto"/>
              </w:rPr>
            </w:pPr>
          </w:p>
        </w:tc>
      </w:tr>
      <w:tr>
        <w:trPr>
          <w:trHeight w:val="436"/>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371,777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394,436</w:t>
            </w:r>
          </w:p>
        </w:tc>
        <w:tc>
          <w:tcPr>
            <w:tcW w:w="40" w:type="dxa"/>
            <w:vAlign w:val="bottom"/>
          </w:tcPr>
          <w:p>
            <w:pPr>
              <w:spacing w:after="0"/>
              <w:rPr>
                <w:sz w:val="24"/>
                <w:szCs w:val="24"/>
                <w:color w:val="auto"/>
              </w:rPr>
            </w:pPr>
          </w:p>
        </w:tc>
      </w:tr>
      <w:tr>
        <w:trPr>
          <w:trHeight w:val="216"/>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128,113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145,430</w:t>
            </w:r>
          </w:p>
        </w:tc>
        <w:tc>
          <w:tcPr>
            <w:tcW w:w="40" w:type="dxa"/>
            <w:vAlign w:val="bottom"/>
          </w:tcPr>
          <w:p>
            <w:pPr>
              <w:spacing w:after="0"/>
              <w:rPr>
                <w:sz w:val="18"/>
                <w:szCs w:val="18"/>
                <w:color w:val="auto"/>
              </w:rPr>
            </w:pPr>
          </w:p>
        </w:tc>
      </w:tr>
      <w:tr>
        <w:trPr>
          <w:trHeight w:val="248"/>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40,813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42,050</w:t>
            </w:r>
          </w:p>
        </w:tc>
        <w:tc>
          <w:tcPr>
            <w:tcW w:w="40" w:type="dxa"/>
            <w:vAlign w:val="bottom"/>
          </w:tcPr>
          <w:p>
            <w:pPr>
              <w:spacing w:after="0"/>
              <w:rPr>
                <w:sz w:val="21"/>
                <w:szCs w:val="2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501,416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80,789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581,916</w:t>
            </w:r>
          </w:p>
        </w:tc>
        <w:tc>
          <w:tcPr>
            <w:tcW w:w="4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(333,272)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(376,275)</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168,144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37,711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205,641</w:t>
            </w:r>
          </w:p>
        </w:tc>
        <w:tc>
          <w:tcPr>
            <w:tcW w:w="4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1"/>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(38,229)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(61,538)</w:t>
            </w:r>
          </w:p>
        </w:tc>
      </w:tr>
      <w:tr>
        <w:trPr>
          <w:trHeight w:val="230"/>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(55,330)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(26,106)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(81,415)</w:t>
            </w:r>
          </w:p>
        </w:tc>
      </w:tr>
      <w:tr>
        <w:trPr>
          <w:trHeight w:val="248"/>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(19,058)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(44,867)</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(112,617)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(75,417)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(187,820)</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 w:type="dxa"/>
            <w:vAlign w:val="bottom"/>
          </w:tcPr>
          <w:p>
            <w:pPr>
              <w:spacing w:after="0"/>
              <w:rPr>
                <w:sz w:val="24"/>
                <w:szCs w:val="24"/>
                <w:color w:val="auto"/>
              </w:rPr>
            </w:pPr>
          </w:p>
        </w:tc>
      </w:tr>
      <w:tr>
        <w:trPr>
          <w:trHeight w:val="45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55,848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4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434"/>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27,735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40,873</w:t>
            </w:r>
          </w:p>
        </w:tc>
        <w:tc>
          <w:tcPr>
            <w:tcW w:w="40" w:type="dxa"/>
            <w:vAlign w:val="bottom"/>
          </w:tcPr>
          <w:p>
            <w:pPr>
              <w:spacing w:after="0"/>
              <w:rPr>
                <w:sz w:val="19"/>
                <w:szCs w:val="19"/>
                <w:color w:val="auto"/>
              </w:rPr>
            </w:pPr>
          </w:p>
        </w:tc>
      </w:tr>
      <w:tr>
        <w:trPr>
          <w:trHeight w:val="216"/>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(8,061)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(8,171)</w:t>
            </w:r>
          </w:p>
        </w:tc>
      </w:tr>
      <w:tr>
        <w:trPr>
          <w:trHeight w:val="248"/>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(10,120)</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43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59,632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40,685</w:t>
            </w:r>
          </w:p>
        </w:tc>
        <w:tc>
          <w:tcPr>
            <w:tcW w:w="4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439"/>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675"/>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56,060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40" w:type="dxa"/>
            <w:vAlign w:val="bottom"/>
          </w:tcPr>
          <w:p>
            <w:pPr>
              <w:spacing w:after="0"/>
              <w:rPr>
                <w:sz w:val="24"/>
                <w:szCs w:val="24"/>
                <w:color w:val="auto"/>
              </w:rPr>
            </w:pPr>
          </w:p>
        </w:tc>
      </w:tr>
      <w:tr>
        <w:trPr>
          <w:trHeight w:val="45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40" w:type="dxa"/>
            <w:vAlign w:val="bottom"/>
          </w:tcPr>
          <w:p>
            <w:pPr>
              <w:spacing w:after="0"/>
              <w:rPr>
                <w:sz w:val="24"/>
                <w:szCs w:val="24"/>
                <w:color w:val="auto"/>
              </w:rPr>
            </w:pPr>
          </w:p>
        </w:tc>
      </w:tr>
      <w:tr>
        <w:trPr>
          <w:trHeight w:val="45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56,060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51,185</w:t>
            </w:r>
          </w:p>
        </w:tc>
        <w:tc>
          <w:tcPr>
            <w:tcW w:w="4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-5442585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-5151120</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-4859655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-4568190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-4251325</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-3959860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-3642360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-3350895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-3060065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-2767965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-2476500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-2185670</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-1893570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-1602105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-1310640</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-1019175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-591185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-299720</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428625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140" w:space="380"/>
            <w:col w:w="5680"/>
          </w:cols>
          <w:pgMar w:left="320" w:top="900" w:right="379" w:bottom="1440" w:gutter="0" w:footer="0" w:header="0"/>
          <w:type w:val="continuous"/>
        </w:sectPr>
      </w:pPr>
    </w:p>
    <w:bookmarkStart w:id="20" w:name="page21"/>
    <w:bookmarkEnd w:id="20"/>
    <w:p>
      <w:pPr>
        <w:ind w:right="50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60" w:type="dxa"/>
            <w:vAlign w:val="bottom"/>
            <w:gridSpan w:val="3"/>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BIGO</w:t>
            </w:r>
          </w:p>
        </w:tc>
        <w:tc>
          <w:tcPr>
            <w:tcW w:w="2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4,035</w:t>
            </w:r>
          </w:p>
        </w:tc>
      </w:tr>
      <w:tr>
        <w:trPr>
          <w:trHeight w:val="670"/>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920" w:type="dxa"/>
            <w:vAlign w:val="bottom"/>
            <w:tcBorders>
              <w:bottom w:val="single" w:sz="8" w:color="auto"/>
            </w:tcBorders>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3"/>
          </w:tcPr>
          <w:p>
            <w:pPr>
              <w:jc w:val="center"/>
              <w:ind w:right="21"/>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0" w:type="dxa"/>
            <w:vAlign w:val="bottom"/>
          </w:tcPr>
          <w:p>
            <w:pPr>
              <w:spacing w:after="0"/>
              <w:rPr>
                <w:sz w:val="20"/>
                <w:szCs w:val="20"/>
                <w:color w:val="auto"/>
              </w:rPr>
            </w:pPr>
          </w:p>
        </w:tc>
        <w:tc>
          <w:tcPr>
            <w:tcW w:w="14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55,848</w:t>
            </w:r>
          </w:p>
        </w:tc>
        <w:tc>
          <w:tcPr>
            <w:tcW w:w="1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(37,583)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3,671</w:t>
            </w:r>
          </w:p>
        </w:tc>
        <w:tc>
          <w:tcPr>
            <w:tcW w:w="1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5,367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8,950</w:t>
            </w:r>
          </w:p>
        </w:tc>
        <w:tc>
          <w:tcPr>
            <w:tcW w:w="15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68,469</w:t>
            </w:r>
          </w:p>
        </w:tc>
        <w:tc>
          <w:tcPr>
            <w:tcW w:w="15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(27,626)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73,241</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(22,624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50,617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56,060</w:t>
            </w:r>
          </w:p>
        </w:tc>
        <w:tc>
          <w:tcPr>
            <w:tcW w:w="15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(4,875)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3,671</w:t>
            </w:r>
          </w:p>
        </w:tc>
        <w:tc>
          <w:tcPr>
            <w:tcW w:w="15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8,950</w:t>
            </w:r>
          </w:p>
        </w:tc>
        <w:tc>
          <w:tcPr>
            <w:tcW w:w="1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fair value change of investments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1,152</w:t>
            </w:r>
          </w:p>
        </w:tc>
        <w:tc>
          <w:tcPr>
            <w:tcW w:w="15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15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(1,576)</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(13,483)</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(13,483)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 from continuing operations</w:t>
            </w: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vMerge w:val="continue"/>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68,859</w:t>
            </w:r>
          </w:p>
        </w:tc>
        <w:tc>
          <w:tcPr>
            <w:tcW w:w="140" w:type="dxa"/>
            <w:vAlign w:val="bottom"/>
            <w:vMerge w:val="continue"/>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(1,009</w:t>
            </w:r>
          </w:p>
        </w:tc>
        <w:tc>
          <w:tcPr>
            <w:tcW w:w="220" w:type="dxa"/>
            <w:vAlign w:val="bottom"/>
            <w:vMerge w:val="continue"/>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67,850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losses,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benefits</w:t>
      </w:r>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Income (loss) before share of income in equity method investments, net of income taxes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35572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September 30, 2025</w:t>
      </w:r>
    </w:p>
    <w:tbl>
      <w:tblPr>
        <w:tblLayout w:type="fixed"/>
        <w:tblInd w:w="0" w:type="dxa"/>
        <w:tblCellMar>
          <w:top w:w="0" w:type="dxa"/>
          <w:left w:w="0" w:type="dxa"/>
          <w:bottom w:w="0" w:type="dxa"/>
          <w:right w:w="0" w:type="dxa"/>
        </w:tblCellMar>
      </w:tblPr>
      <w:tr>
        <w:trPr>
          <w:trHeight w:val="279"/>
        </w:trPr>
        <w:tc>
          <w:tcPr>
            <w:tcW w:w="14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gridSpan w:val="3"/>
          </w:tcPr>
          <w:p>
            <w:pPr>
              <w:jc w:val="center"/>
              <w:ind w:right="200"/>
              <w:spacing w:after="0" w:line="278" w:lineRule="exact"/>
              <w:rPr>
                <w:sz w:val="20"/>
                <w:szCs w:val="20"/>
                <w:color w:val="auto"/>
              </w:rPr>
            </w:pPr>
            <w:r>
              <w:rPr>
                <w:rFonts w:ascii="Times New Roman" w:cs="Times New Roman" w:eastAsia="Times New Roman" w:hAnsi="Times New Roman"/>
                <w:sz w:val="18"/>
                <w:szCs w:val="18"/>
                <w:b w:val="1"/>
                <w:bCs w:val="1"/>
                <w:color w:val="auto"/>
                <w:w w:val="95"/>
              </w:rPr>
              <w:t>Elimination</w:t>
            </w:r>
            <w:r>
              <w:rPr>
                <w:rFonts w:ascii="Times New Roman" w:cs="Times New Roman" w:eastAsia="Times New Roman" w:hAnsi="Times New Roman"/>
                <w:sz w:val="29"/>
                <w:szCs w:val="29"/>
                <w:b w:val="1"/>
                <w:bCs w:val="1"/>
                <w:color w:val="auto"/>
                <w:w w:val="95"/>
                <w:vertAlign w:val="superscript"/>
              </w:rPr>
              <w:t>(1)</w:t>
            </w:r>
          </w:p>
        </w:tc>
        <w:tc>
          <w:tcPr>
            <w:tcW w:w="12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US$</w:t>
            </w:r>
          </w:p>
        </w:tc>
        <w:tc>
          <w:tcPr>
            <w:tcW w:w="40" w:type="dxa"/>
            <w:vAlign w:val="bottom"/>
          </w:tcPr>
          <w:p>
            <w:pPr>
              <w:spacing w:after="0"/>
              <w:rPr>
                <w:sz w:val="19"/>
                <w:szCs w:val="19"/>
                <w:color w:val="auto"/>
              </w:rPr>
            </w:pPr>
          </w:p>
        </w:tc>
      </w:tr>
      <w:tr>
        <w:trPr>
          <w:trHeight w:val="436"/>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367,744</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20,730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388,474</w:t>
            </w:r>
          </w:p>
        </w:tc>
        <w:tc>
          <w:tcPr>
            <w:tcW w:w="40" w:type="dxa"/>
            <w:vAlign w:val="bottom"/>
          </w:tcPr>
          <w:p>
            <w:pPr>
              <w:spacing w:after="0"/>
              <w:rPr>
                <w:sz w:val="24"/>
                <w:szCs w:val="24"/>
                <w:color w:val="auto"/>
              </w:rPr>
            </w:pPr>
          </w:p>
        </w:tc>
      </w:tr>
      <w:tr>
        <w:trPr>
          <w:trHeight w:val="230"/>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103,942</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8,574</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112,516</w:t>
            </w:r>
          </w:p>
        </w:tc>
        <w:tc>
          <w:tcPr>
            <w:tcW w:w="40" w:type="dxa"/>
            <w:vAlign w:val="bottom"/>
          </w:tcPr>
          <w:p>
            <w:pPr>
              <w:spacing w:after="0"/>
              <w:rPr>
                <w:sz w:val="19"/>
                <w:szCs w:val="19"/>
                <w:color w:val="auto"/>
              </w:rPr>
            </w:pPr>
          </w:p>
        </w:tc>
      </w:tr>
      <w:tr>
        <w:trPr>
          <w:trHeight w:val="234"/>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749</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38,785</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40" w:type="dxa"/>
            <w:vAlign w:val="bottom"/>
          </w:tcPr>
          <w:p>
            <w:pPr>
              <w:spacing w:after="0"/>
              <w:rPr>
                <w:sz w:val="20"/>
                <w:szCs w:val="20"/>
                <w:color w:val="auto"/>
              </w:rPr>
            </w:pPr>
          </w:p>
        </w:tc>
      </w:tr>
      <w:tr>
        <w:trPr>
          <w:trHeight w:val="459"/>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472,435</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68,089</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540,221</w:t>
            </w:r>
          </w:p>
        </w:tc>
        <w:tc>
          <w:tcPr>
            <w:tcW w:w="40" w:type="dxa"/>
            <w:vAlign w:val="bottom"/>
          </w:tcPr>
          <w:p>
            <w:pPr>
              <w:spacing w:after="0"/>
              <w:rPr>
                <w:sz w:val="24"/>
                <w:szCs w:val="24"/>
                <w:color w:val="auto"/>
              </w:rPr>
            </w:pPr>
          </w:p>
        </w:tc>
      </w:tr>
      <w:tr>
        <w:trPr>
          <w:trHeight w:val="499"/>
        </w:trPr>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(308,107)</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(39,051)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(347,090)</w:t>
            </w:r>
          </w:p>
        </w:tc>
      </w:tr>
      <w:tr>
        <w:trPr>
          <w:trHeight w:val="459"/>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164,328</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29,038</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193,131</w:t>
            </w:r>
          </w:p>
        </w:tc>
        <w:tc>
          <w:tcPr>
            <w:tcW w:w="40" w:type="dxa"/>
            <w:vAlign w:val="bottom"/>
          </w:tcPr>
          <w:p>
            <w:pPr>
              <w:spacing w:after="0"/>
              <w:rPr>
                <w:sz w:val="24"/>
                <w:szCs w:val="24"/>
                <w:color w:val="auto"/>
              </w:rPr>
            </w:pPr>
          </w:p>
        </w:tc>
      </w:tr>
      <w:tr>
        <w:trPr>
          <w:trHeight w:val="724"/>
        </w:trPr>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(40,950)</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(22,331)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(63,094)</w:t>
            </w:r>
          </w:p>
        </w:tc>
      </w:tr>
      <w:tr>
        <w:trPr>
          <w:trHeight w:val="216"/>
        </w:trPr>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(51,832)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(20,263)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(72,072)</w:t>
            </w:r>
          </w:p>
        </w:tc>
      </w:tr>
      <w:tr>
        <w:trPr>
          <w:trHeight w:val="248"/>
        </w:trPr>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(18,385)</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(20,690)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(39,050)</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(111,167)</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(63,284)</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(174,216)</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0" w:type="dxa"/>
            <w:vAlign w:val="bottom"/>
          </w:tcPr>
          <w:p>
            <w:pPr>
              <w:spacing w:after="0"/>
              <w:rPr>
                <w:sz w:val="24"/>
                <w:szCs w:val="24"/>
                <w:color w:val="auto"/>
              </w:rPr>
            </w:pPr>
          </w:p>
        </w:tc>
      </w:tr>
      <w:tr>
        <w:trPr>
          <w:trHeight w:val="459"/>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53,431</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(33,879)</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40" w:type="dxa"/>
            <w:vAlign w:val="bottom"/>
          </w:tcPr>
          <w:p>
            <w:pPr>
              <w:spacing w:after="0"/>
              <w:rPr>
                <w:sz w:val="24"/>
                <w:szCs w:val="24"/>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(826)</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14,305</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27,994</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40" w:type="dxa"/>
            <w:vAlign w:val="bottom"/>
          </w:tcPr>
          <w:p>
            <w:pPr>
              <w:spacing w:after="0"/>
              <w:rPr>
                <w:sz w:val="19"/>
                <w:szCs w:val="19"/>
                <w:color w:val="auto"/>
              </w:rPr>
            </w:pPr>
          </w:p>
        </w:tc>
      </w:tr>
      <w:tr>
        <w:trPr>
          <w:trHeight w:val="243"/>
        </w:trPr>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(6,085)</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(6,370)</w:t>
            </w:r>
          </w:p>
        </w:tc>
      </w:tr>
      <w:tr>
        <w:trPr>
          <w:trHeight w:val="234"/>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4,011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40" w:type="dxa"/>
            <w:vAlign w:val="bottom"/>
          </w:tcPr>
          <w:p>
            <w:pPr>
              <w:spacing w:after="0"/>
              <w:rPr>
                <w:sz w:val="20"/>
                <w:szCs w:val="20"/>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60,916</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(2,181)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40" w:type="dxa"/>
            <w:vAlign w:val="bottom"/>
          </w:tcPr>
          <w:p>
            <w:pPr>
              <w:spacing w:after="0"/>
              <w:rPr>
                <w:sz w:val="24"/>
                <w:szCs w:val="24"/>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(5,626)</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1,842</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675"/>
        </w:trPr>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55,290</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54,951</w:t>
            </w:r>
          </w:p>
        </w:tc>
        <w:tc>
          <w:tcPr>
            <w:tcW w:w="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4,236</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40" w:type="dxa"/>
            <w:vAlign w:val="bottom"/>
          </w:tcPr>
          <w:p>
            <w:pPr>
              <w:spacing w:after="0"/>
              <w:rPr>
                <w:sz w:val="24"/>
                <w:szCs w:val="24"/>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55,290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3,897</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59,187</w:t>
            </w:r>
          </w:p>
        </w:tc>
        <w:tc>
          <w:tcPr>
            <w:tcW w:w="40" w:type="dxa"/>
            <w:vAlign w:val="bottom"/>
          </w:tcPr>
          <w:p>
            <w:pPr>
              <w:spacing w:after="0"/>
              <w:rPr>
                <w:sz w:val="24"/>
                <w:szCs w:val="24"/>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-5442585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-5151120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-4859655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-4568190</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-4251325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-3959860</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-3642360</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-3350895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-3059430</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-2767965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-2476500</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-2185035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-1893570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-1602105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-1310640</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-1019175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-590550</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-299720</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428625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140" w:space="380"/>
            <w:col w:w="5680"/>
          </w:cols>
          <w:pgMar w:left="320" w:top="900" w:right="379" w:bottom="1440" w:gutter="0" w:footer="0" w:header="0"/>
          <w:type w:val="continuous"/>
        </w:sectPr>
      </w:pPr>
    </w:p>
    <w:bookmarkStart w:id="23" w:name="page24"/>
    <w:bookmarkEnd w:id="23"/>
    <w:p>
      <w:pPr>
        <w:ind w:right="50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BIGO</w:t>
            </w:r>
          </w:p>
        </w:tc>
        <w:tc>
          <w:tcPr>
            <w:tcW w:w="22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2,982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3,372</w:t>
            </w:r>
          </w:p>
        </w:tc>
      </w:tr>
      <w:tr>
        <w:trPr>
          <w:trHeight w:val="670"/>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920" w:type="dxa"/>
            <w:vAlign w:val="bottom"/>
            <w:tcBorders>
              <w:bottom w:val="single" w:sz="8" w:color="auto"/>
            </w:tcBorders>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3"/>
          </w:tcPr>
          <w:p>
            <w:pPr>
              <w:jc w:val="center"/>
              <w:ind w:right="1"/>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 2025</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60" w:type="dxa"/>
            <w:vAlign w:val="bottom"/>
          </w:tcPr>
          <w:p>
            <w:pPr>
              <w:spacing w:after="0"/>
              <w:rPr>
                <w:sz w:val="20"/>
                <w:szCs w:val="20"/>
                <w:color w:val="auto"/>
              </w:rPr>
            </w:pPr>
          </w:p>
        </w:tc>
        <w:tc>
          <w:tcPr>
            <w:tcW w:w="14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gridSpan w:val="2"/>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53,431</w:t>
            </w:r>
          </w:p>
        </w:tc>
        <w:tc>
          <w:tcPr>
            <w:tcW w:w="16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(33,879)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3,782</w:t>
            </w:r>
          </w:p>
        </w:tc>
        <w:tc>
          <w:tcPr>
            <w:tcW w:w="16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3,776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7,558</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8,950</w:t>
            </w:r>
          </w:p>
        </w:tc>
        <w:tc>
          <w:tcPr>
            <w:tcW w:w="16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66,163</w:t>
            </w:r>
          </w:p>
        </w:tc>
        <w:tc>
          <w:tcPr>
            <w:tcW w:w="16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(25,513)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40,650</w:t>
            </w:r>
          </w:p>
        </w:tc>
        <w:tc>
          <w:tcPr>
            <w:tcW w:w="8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70,737</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55,290</w:t>
            </w:r>
          </w:p>
        </w:tc>
        <w:tc>
          <w:tcPr>
            <w:tcW w:w="16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3,897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59,187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3,782</w:t>
            </w:r>
          </w:p>
        </w:tc>
        <w:tc>
          <w:tcPr>
            <w:tcW w:w="16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7,558</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8,950</w:t>
            </w:r>
          </w:p>
        </w:tc>
        <w:tc>
          <w:tcPr>
            <w:tcW w:w="16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(4,011)</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6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(1,167)</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(1,930)</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(4,111)</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(4,111)</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4"/>
          </w:tcPr>
          <w:p>
            <w:pPr>
              <w:jc w:val="right"/>
              <w:ind w:right="840"/>
              <w:spacing w:after="0" w:line="191"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5"/>
        </w:trPr>
        <w:tc>
          <w:tcPr>
            <w:tcW w:w="552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gridSpan w:val="2"/>
          </w:tcPr>
          <w:p>
            <w:pPr>
              <w:jc w:val="right"/>
              <w:ind w:right="280"/>
              <w:spacing w:after="0" w:line="276" w:lineRule="exact"/>
              <w:rPr>
                <w:sz w:val="20"/>
                <w:szCs w:val="20"/>
                <w:color w:val="auto"/>
              </w:rPr>
            </w:pPr>
            <w:r>
              <w:rPr>
                <w:rFonts w:ascii="Times New Roman" w:cs="Times New Roman" w:eastAsia="Times New Roman" w:hAnsi="Times New Roman"/>
                <w:sz w:val="18"/>
                <w:szCs w:val="18"/>
                <w:b w:val="1"/>
                <w:bCs w:val="1"/>
                <w:color w:val="auto"/>
              </w:rPr>
              <w:t>Elimination</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400,281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422,418</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79,308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89,570</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37,476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37,458</w:t>
            </w:r>
          </w:p>
        </w:tc>
      </w:tr>
      <w:tr>
        <w:trPr>
          <w:trHeight w:val="229"/>
        </w:trPr>
        <w:tc>
          <w:tcPr>
            <w:tcW w:w="5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479,974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69,875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549,446</w:t>
            </w:r>
          </w:p>
        </w:tc>
      </w:tr>
      <w:tr>
        <w:trPr>
          <w:trHeight w:val="229"/>
        </w:trPr>
        <w:tc>
          <w:tcPr>
            <w:tcW w:w="5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0"/>
        </w:trPr>
        <w:tc>
          <w:tcPr>
            <w:tcW w:w="55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(304,926)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(345,663)</w:t>
            </w:r>
          </w:p>
        </w:tc>
      </w:tr>
      <w:tr>
        <w:trPr>
          <w:trHeight w:val="229"/>
        </w:trPr>
        <w:tc>
          <w:tcPr>
            <w:tcW w:w="5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175,048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29,053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203,783</w:t>
            </w:r>
          </w:p>
        </w:tc>
      </w:tr>
      <w:tr>
        <w:trPr>
          <w:trHeight w:val="229"/>
        </w:trPr>
        <w:tc>
          <w:tcPr>
            <w:tcW w:w="5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0"/>
        </w:trPr>
        <w:tc>
          <w:tcPr>
            <w:tcW w:w="552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(43,641)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(67,485)</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(44,990)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(67,040)</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(17,025)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(27,054)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(44,015)</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(454,935)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(454,935)</w:t>
            </w: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(105,656)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(528,137)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(633,475)</w:t>
            </w: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r>
      <w:tr>
        <w:trPr>
          <w:trHeight w:val="230"/>
        </w:trPr>
        <w:tc>
          <w:tcPr>
            <w:tcW w:w="5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69,790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(497,643)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(427,853)</w:t>
            </w: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27,837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38,860</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10,359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9,613</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fair value change of investments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(3,011)</w:t>
            </w:r>
          </w:p>
        </w:tc>
      </w:tr>
      <w:tr>
        <w:trPr>
          <w:trHeight w:val="229"/>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86,745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(469,448)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(382,703)</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5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83,819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(466,563)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(382,744)</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(3,793)</w:t>
            </w:r>
          </w:p>
        </w:tc>
      </w:tr>
      <w:tr>
        <w:trPr>
          <w:trHeight w:val="230"/>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83,819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(470,356)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(386,537)</w:t>
            </w:r>
          </w:p>
        </w:tc>
      </w:tr>
      <w:tr>
        <w:trPr>
          <w:trHeight w:val="668"/>
        </w:trPr>
        <w:tc>
          <w:tcPr>
            <w:tcW w:w="55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6" w:name="page27"/>
    <w:bookmarkEnd w:id="26"/>
    <w:p>
      <w:pPr>
        <w:ind w:left="340" w:right="4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60" w:type="dxa"/>
            <w:vAlign w:val="bottom"/>
            <w:gridSpan w:val="3"/>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BIGO</w:t>
            </w:r>
          </w:p>
        </w:tc>
        <w:tc>
          <w:tcPr>
            <w:tcW w:w="2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2,091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2,554</w:t>
            </w:r>
          </w:p>
        </w:tc>
      </w:tr>
      <w:tr>
        <w:trPr>
          <w:trHeight w:val="670"/>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920" w:type="dxa"/>
            <w:vAlign w:val="bottom"/>
            <w:tcBorders>
              <w:bottom w:val="single" w:sz="8" w:color="auto"/>
            </w:tcBorders>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6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21"/>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98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0" w:type="dxa"/>
            <w:vAlign w:val="bottom"/>
          </w:tcPr>
          <w:p>
            <w:pPr>
              <w:spacing w:after="0"/>
              <w:rPr>
                <w:sz w:val="20"/>
                <w:szCs w:val="20"/>
                <w:color w:val="auto"/>
              </w:rPr>
            </w:pPr>
          </w:p>
        </w:tc>
        <w:tc>
          <w:tcPr>
            <w:tcW w:w="14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gridSpan w:val="2"/>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69,790</w:t>
            </w:r>
          </w:p>
        </w:tc>
        <w:tc>
          <w:tcPr>
            <w:tcW w:w="1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(497,643)</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(427,853)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2,281</w:t>
            </w:r>
          </w:p>
        </w:tc>
        <w:tc>
          <w:tcPr>
            <w:tcW w:w="1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3,525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5,806</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8,950</w:t>
            </w:r>
          </w:p>
        </w:tc>
        <w:tc>
          <w:tcPr>
            <w:tcW w:w="15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454,935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454,935</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81,021</w:t>
            </w:r>
          </w:p>
        </w:tc>
        <w:tc>
          <w:tcPr>
            <w:tcW w:w="1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(34,593)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46,428</w:t>
            </w:r>
          </w:p>
        </w:tc>
        <w:tc>
          <w:tcPr>
            <w:tcW w:w="80" w:type="dxa"/>
            <w:vAlign w:val="bottom"/>
            <w:shd w:val="clear" w:color="auto" w:fill="CCEEFF"/>
          </w:tcPr>
          <w:p>
            <w:pPr>
              <w:spacing w:after="0"/>
              <w:rPr>
                <w:sz w:val="18"/>
                <w:szCs w:val="18"/>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(29,178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55,724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83,819</w:t>
            </w:r>
          </w:p>
        </w:tc>
        <w:tc>
          <w:tcPr>
            <w:tcW w:w="1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(470,356)</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(386,537)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2,281</w:t>
            </w:r>
          </w:p>
        </w:tc>
        <w:tc>
          <w:tcPr>
            <w:tcW w:w="1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3,525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5,806</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8,950</w:t>
            </w:r>
          </w:p>
        </w:tc>
        <w:tc>
          <w:tcPr>
            <w:tcW w:w="15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454,935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454,935</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fair value change of investments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4,156</w:t>
            </w:r>
          </w:p>
        </w:tc>
        <w:tc>
          <w:tcPr>
            <w:tcW w:w="1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w:t>
            </w:r>
          </w:p>
        </w:tc>
        <w:tc>
          <w:tcPr>
            <w:tcW w:w="1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351</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 from continuing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2011 SHARE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purpose of the JOYY Inc. Second Amended and Restated 2011 Share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success and enhance the value of JOYY Inc., a company formed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linking the personal interests of the members of the Board,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 The Plan amends and restates the previously adopted 2011 Share Incentive Plan of the Company, as amended in October 2012 and further amended and restated in September 2021 (the “</w:t>
      </w:r>
      <w:r>
        <w:rPr>
          <w:rFonts w:ascii="Times New Roman" w:cs="Times New Roman" w:eastAsia="Times New Roman" w:hAnsi="Times New Roman"/>
          <w:sz w:val="18"/>
          <w:szCs w:val="18"/>
          <w:u w:val="single" w:color="auto"/>
          <w:color w:val="auto"/>
        </w:rPr>
        <w:t>2011 Share Incentive Plan</w:t>
      </w:r>
      <w:r>
        <w:rPr>
          <w:rFonts w:ascii="Times New Roman" w:cs="Times New Roman" w:eastAsia="Times New Roman" w:hAnsi="Times New Roman"/>
          <w:sz w:val="18"/>
          <w:szCs w:val="18"/>
          <w:color w:val="auto"/>
        </w:rPr>
        <w:t>”), in its entirety and assumes all awards granted under the 2011 Share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singular pronoun shall include the plural where the context so indicates.</w:t>
      </w:r>
    </w:p>
    <w:p>
      <w:pPr>
        <w:spacing w:after="0" w:line="20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Restricted Share or Restricted Share Unit award granted to a Participant pursuant to the Plan.</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w:t>
      </w:r>
      <w:r>
        <w:rPr>
          <w:rFonts w:ascii="Times New Roman" w:cs="Times New Roman" w:eastAsia="Times New Roman" w:hAnsi="Times New Roman"/>
          <w:sz w:val="18"/>
          <w:szCs w:val="18"/>
          <w:color w:val="auto"/>
        </w:rPr>
        <w:t>t” means any written agreement, contract, or other instrument or document evidencing an Award, including through electronic medium.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ind w:firstLine="648"/>
        <w:spacing w:after="0" w:line="261"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 Participant means (unless otherwise expressly provided in the applicable Award Agreement, or another applicable contract with the Participant that defines such term for purposes of determining the effect that a “for cause” termination has on the Participant’s Awards) a termination of employment or service based upon a finding by the Service Recipient, acting in good faith and based on its reasonable belief at the time, that the Participant:</w:t>
      </w:r>
    </w:p>
    <w:p>
      <w:pPr>
        <w:spacing w:after="0" w:line="180" w:lineRule="exact"/>
        <w:rPr>
          <w:sz w:val="20"/>
          <w:szCs w:val="20"/>
          <w:color w:val="auto"/>
        </w:rPr>
      </w:pPr>
    </w:p>
    <w:p>
      <w:pPr>
        <w:ind w:left="660" w:right="80" w:firstLine="1296"/>
        <w:spacing w:after="0" w:line="282" w:lineRule="auto"/>
        <w:rPr>
          <w:sz w:val="20"/>
          <w:szCs w:val="20"/>
          <w:color w:val="auto"/>
        </w:rPr>
      </w:pPr>
      <w:r>
        <w:rPr>
          <w:rFonts w:ascii="Times New Roman" w:cs="Times New Roman" w:eastAsia="Times New Roman" w:hAnsi="Times New Roman"/>
          <w:sz w:val="18"/>
          <w:szCs w:val="18"/>
          <w:color w:val="auto"/>
        </w:rPr>
        <w:t>(a)            has been negligent in the discharge of his or her duties to the Service Recipient, has refused to perform stated or assigned duties or is incompetent in or (other than by reason of a disability or analogous condition) incapable of performing those duties;</w:t>
      </w:r>
    </w:p>
    <w:p>
      <w:pPr>
        <w:spacing w:after="0" w:line="162" w:lineRule="exact"/>
        <w:rPr>
          <w:sz w:val="20"/>
          <w:szCs w:val="20"/>
          <w:color w:val="auto"/>
        </w:rPr>
      </w:pPr>
    </w:p>
    <w:p>
      <w:pPr>
        <w:ind w:left="660" w:right="380" w:firstLine="1296"/>
        <w:spacing w:after="0" w:line="282" w:lineRule="auto"/>
        <w:rPr>
          <w:sz w:val="20"/>
          <w:szCs w:val="20"/>
          <w:color w:val="auto"/>
        </w:rPr>
      </w:pPr>
      <w:r>
        <w:rPr>
          <w:rFonts w:ascii="Times New Roman" w:cs="Times New Roman" w:eastAsia="Times New Roman" w:hAnsi="Times New Roman"/>
          <w:sz w:val="18"/>
          <w:szCs w:val="18"/>
          <w:color w:val="auto"/>
        </w:rPr>
        <w:t>(b)            has been dishonest or committed or engaged in an act of theft, embezzlement or fraud, a breach of confidentiality, an unauthorized disclosure or use of inside information, customer lists, trade secrets or other confidential information;</w:t>
      </w:r>
    </w:p>
    <w:p>
      <w:pPr>
        <w:spacing w:after="0" w:line="162" w:lineRule="exact"/>
        <w:rPr>
          <w:sz w:val="20"/>
          <w:szCs w:val="20"/>
          <w:color w:val="auto"/>
        </w:rPr>
      </w:pPr>
    </w:p>
    <w:p>
      <w:pPr>
        <w:ind w:left="660" w:right="100" w:firstLine="1296"/>
        <w:spacing w:after="0" w:line="266" w:lineRule="auto"/>
        <w:rPr>
          <w:sz w:val="20"/>
          <w:szCs w:val="20"/>
          <w:color w:val="auto"/>
        </w:rPr>
      </w:pPr>
      <w:r>
        <w:rPr>
          <w:rFonts w:ascii="Times New Roman" w:cs="Times New Roman" w:eastAsia="Times New Roman" w:hAnsi="Times New Roman"/>
          <w:sz w:val="18"/>
          <w:szCs w:val="18"/>
          <w:color w:val="auto"/>
        </w:rPr>
        <w:t>(c)            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has materially breached any of the provisions of any agreement with the Service Recipient;</w:t>
      </w:r>
    </w:p>
    <w:p>
      <w:pPr>
        <w:spacing w:after="0" w:line="225" w:lineRule="exact"/>
        <w:rPr>
          <w:sz w:val="20"/>
          <w:szCs w:val="20"/>
          <w:color w:val="auto"/>
        </w:rPr>
      </w:pPr>
    </w:p>
    <w:p>
      <w:pPr>
        <w:ind w:left="660" w:right="120" w:firstLine="1296"/>
        <w:spacing w:after="0" w:line="282" w:lineRule="auto"/>
        <w:rPr>
          <w:sz w:val="20"/>
          <w:szCs w:val="20"/>
          <w:color w:val="auto"/>
        </w:rPr>
      </w:pPr>
      <w:r>
        <w:rPr>
          <w:rFonts w:ascii="Times New Roman" w:cs="Times New Roman" w:eastAsia="Times New Roman" w:hAnsi="Times New Roman"/>
          <w:sz w:val="18"/>
          <w:szCs w:val="18"/>
          <w:color w:val="auto"/>
        </w:rPr>
        <w:t>(e)            has engaged in unfair competition with, or otherwise acted intentionally in a manner injurious to the reputation, business or assets of, the Service Recipient; or</w:t>
      </w:r>
    </w:p>
    <w:p>
      <w:pPr>
        <w:spacing w:after="0" w:line="162" w:lineRule="exact"/>
        <w:rPr>
          <w:sz w:val="20"/>
          <w:szCs w:val="20"/>
          <w:color w:val="auto"/>
        </w:rPr>
      </w:pPr>
    </w:p>
    <w:p>
      <w:pPr>
        <w:ind w:left="660" w:right="180" w:firstLine="1296"/>
        <w:spacing w:after="0" w:line="282" w:lineRule="auto"/>
        <w:rPr>
          <w:sz w:val="20"/>
          <w:szCs w:val="20"/>
          <w:color w:val="auto"/>
        </w:rPr>
      </w:pPr>
      <w:r>
        <w:rPr>
          <w:rFonts w:ascii="Times New Roman" w:cs="Times New Roman" w:eastAsia="Times New Roman" w:hAnsi="Times New Roman"/>
          <w:sz w:val="18"/>
          <w:szCs w:val="18"/>
          <w:color w:val="auto"/>
        </w:rPr>
        <w:t>(f)            has improperly induced a vendor or customer to break or terminate any contract with the Service Recipient or induced a principal for whom the Service Recipient acts as agent to terminate such agency relationship.</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of the United States,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Board or a committee of the Board described in Article 10.</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or indirectly via a consulting service company with the Service Recipient to render such services.</w:t>
      </w:r>
    </w:p>
    <w:p>
      <w:pPr>
        <w:spacing w:after="0" w:line="180"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2.9            “</w:t>
      </w: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unless otherwise defined in an Award Agreement, means any of the following transactions, provided, however, that the Committee shall determine under (d) and (e) whether multiple transactions are related, and its determination shall be final, binding and conclusive:</w:t>
      </w:r>
    </w:p>
    <w:p>
      <w:pPr>
        <w:spacing w:after="0" w:line="140" w:lineRule="exact"/>
        <w:rPr>
          <w:sz w:val="20"/>
          <w:szCs w:val="20"/>
          <w:color w:val="auto"/>
        </w:rPr>
      </w:pPr>
    </w:p>
    <w:p>
      <w:pPr>
        <w:ind w:left="660" w:right="120" w:firstLine="1296"/>
        <w:spacing w:after="0" w:line="261" w:lineRule="auto"/>
        <w:rPr>
          <w:sz w:val="20"/>
          <w:szCs w:val="20"/>
          <w:color w:val="auto"/>
        </w:rPr>
      </w:pPr>
      <w:r>
        <w:rPr>
          <w:rFonts w:ascii="Times New Roman" w:cs="Times New Roman" w:eastAsia="Times New Roman" w:hAnsi="Times New Roman"/>
          <w:sz w:val="18"/>
          <w:szCs w:val="18"/>
          <w:color w:val="auto"/>
        </w:rPr>
        <w:t>(a)            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ind w:left="1960"/>
        <w:spacing w:after="0"/>
        <w:rPr>
          <w:sz w:val="20"/>
          <w:szCs w:val="20"/>
          <w:color w:val="auto"/>
        </w:rPr>
      </w:pPr>
      <w:r>
        <w:rPr>
          <w:rFonts w:ascii="Times New Roman" w:cs="Times New Roman" w:eastAsia="Times New Roman" w:hAnsi="Times New Roman"/>
          <w:sz w:val="18"/>
          <w:szCs w:val="18"/>
          <w:color w:val="auto"/>
        </w:rPr>
        <w:t>(b)            the sale, transfer or other disposition of all or substantially all of the assets of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the complete liquidation or dissolution of the Company;</w:t>
      </w:r>
    </w:p>
    <w:p>
      <w:pPr>
        <w:spacing w:after="0" w:line="225" w:lineRule="exact"/>
        <w:rPr>
          <w:sz w:val="20"/>
          <w:szCs w:val="20"/>
          <w:color w:val="auto"/>
        </w:rPr>
      </w:pPr>
    </w:p>
    <w:p>
      <w:pPr>
        <w:ind w:left="660" w:right="220" w:firstLine="1296"/>
        <w:spacing w:after="0" w:line="255" w:lineRule="auto"/>
        <w:rPr>
          <w:sz w:val="20"/>
          <w:szCs w:val="20"/>
          <w:color w:val="auto"/>
        </w:rPr>
      </w:pPr>
      <w:r>
        <w:rPr>
          <w:rFonts w:ascii="Times New Roman" w:cs="Times New Roman" w:eastAsia="Times New Roman" w:hAnsi="Times New Roman"/>
          <w:sz w:val="18"/>
          <w:szCs w:val="18"/>
          <w:color w:val="auto"/>
        </w:rPr>
        <w:t>(d)            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89" w:lineRule="exact"/>
        <w:rPr>
          <w:sz w:val="20"/>
          <w:szCs w:val="20"/>
          <w:color w:val="auto"/>
        </w:rPr>
      </w:pPr>
    </w:p>
    <w:p>
      <w:pPr>
        <w:ind w:left="660" w:right="20" w:firstLine="1296"/>
        <w:spacing w:after="0" w:line="261" w:lineRule="auto"/>
        <w:rPr>
          <w:sz w:val="20"/>
          <w:szCs w:val="20"/>
          <w:color w:val="auto"/>
        </w:rPr>
      </w:pPr>
      <w:r>
        <w:rPr>
          <w:rFonts w:ascii="Times New Roman" w:cs="Times New Roman" w:eastAsia="Times New Roman" w:hAnsi="Times New Roman"/>
          <w:sz w:val="18"/>
          <w:szCs w:val="18"/>
          <w:color w:val="auto"/>
        </w:rPr>
        <w:t>(e)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unless otherwise defined in an Award Agreement,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11.1.</w:t>
      </w:r>
    </w:p>
    <w:p>
      <w:pPr>
        <w:spacing w:after="0" w:line="225" w:lineRule="exact"/>
        <w:rPr>
          <w:sz w:val="20"/>
          <w:szCs w:val="20"/>
          <w:color w:val="auto"/>
        </w:rPr>
      </w:pPr>
    </w:p>
    <w:p>
      <w:pPr>
        <w:jc w:val="both"/>
        <w:ind w:right="700" w:firstLine="648"/>
        <w:spacing w:after="0" w:line="261"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a member of the Board of the Company or any Parent or Subsidiary of the Company,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of the United States,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Shares determined as follows:</w:t>
      </w:r>
    </w:p>
    <w:p>
      <w:pPr>
        <w:spacing w:after="0" w:line="225" w:lineRule="exact"/>
        <w:rPr>
          <w:sz w:val="20"/>
          <w:szCs w:val="20"/>
          <w:color w:val="auto"/>
        </w:rPr>
      </w:pPr>
    </w:p>
    <w:p>
      <w:pPr>
        <w:ind w:left="660" w:right="20" w:firstLine="1296"/>
        <w:spacing w:after="0" w:line="256" w:lineRule="auto"/>
        <w:rPr>
          <w:sz w:val="20"/>
          <w:szCs w:val="20"/>
          <w:color w:val="auto"/>
        </w:rPr>
      </w:pPr>
      <w:r>
        <w:rPr>
          <w:rFonts w:ascii="Times New Roman" w:cs="Times New Roman" w:eastAsia="Times New Roman" w:hAnsi="Times New Roman"/>
          <w:sz w:val="18"/>
          <w:szCs w:val="18"/>
          <w:color w:val="auto"/>
        </w:rPr>
        <w:t>(a)            If the Shares are listed on one or more established stock exchanges or national market systems, including without limitation, The New York Stock Exchange and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187" w:lineRule="exact"/>
        <w:rPr>
          <w:sz w:val="20"/>
          <w:szCs w:val="20"/>
          <w:color w:val="auto"/>
        </w:rPr>
      </w:pPr>
    </w:p>
    <w:p>
      <w:pPr>
        <w:ind w:left="660" w:right="60" w:firstLine="1296"/>
        <w:spacing w:after="0" w:line="258" w:lineRule="auto"/>
        <w:rPr>
          <w:sz w:val="20"/>
          <w:szCs w:val="20"/>
          <w:color w:val="auto"/>
        </w:rPr>
      </w:pPr>
      <w:r>
        <w:rPr>
          <w:rFonts w:ascii="Times New Roman" w:cs="Times New Roman" w:eastAsia="Times New Roman" w:hAnsi="Times New Roman"/>
          <w:sz w:val="18"/>
          <w:szCs w:val="18"/>
          <w:color w:val="auto"/>
        </w:rPr>
        <w:t>(b)            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83" w:lineRule="exact"/>
        <w:rPr>
          <w:sz w:val="20"/>
          <w:szCs w:val="20"/>
          <w:color w:val="auto"/>
        </w:rPr>
      </w:pPr>
    </w:p>
    <w:p>
      <w:pPr>
        <w:ind w:left="660" w:firstLine="1296"/>
        <w:spacing w:after="0" w:line="256" w:lineRule="auto"/>
        <w:rPr>
          <w:sz w:val="20"/>
          <w:szCs w:val="20"/>
          <w:color w:val="auto"/>
        </w:rPr>
      </w:pPr>
      <w:r>
        <w:rPr>
          <w:rFonts w:ascii="Times New Roman" w:cs="Times New Roman" w:eastAsia="Times New Roman" w:hAnsi="Times New Roman"/>
          <w:sz w:val="18"/>
          <w:szCs w:val="18"/>
          <w:color w:val="auto"/>
        </w:rPr>
        <w:t>(c)            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or (iv) such other methodologies or information as the Committee determines to be indicative of Fair Market Value and relevant.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2.15          “</w:t>
      </w:r>
      <w:r>
        <w:rPr>
          <w:rFonts w:ascii="Times New Roman" w:cs="Times New Roman" w:eastAsia="Times New Roman" w:hAnsi="Times New Roman"/>
          <w:sz w:val="17"/>
          <w:szCs w:val="17"/>
          <w:u w:val="single" w:color="auto"/>
          <w:color w:val="auto"/>
        </w:rPr>
        <w:t>Incentive Share Option</w:t>
      </w:r>
      <w:r>
        <w:rPr>
          <w:rFonts w:ascii="Times New Roman" w:cs="Times New Roman" w:eastAsia="Times New Roman" w:hAnsi="Times New Roman"/>
          <w:sz w:val="17"/>
          <w:szCs w:val="17"/>
          <w:color w:val="auto"/>
        </w:rPr>
        <w:t>” means an Option that is intended to meet the requirements of Section 422 of the Code or any successor provision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means (i) before the Shares or other securities representing the Shares are listed on a stock exchange, a member of the Board who is a Non-Employee Director; and (ii) after the Shares or other securities representing the Shares are listed on a stock exchange, a member of the Board who meets the independence standards under the applicable corporate governance rules of the stock exchange.</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qualifies as a “Non-Employee Director” as defined in Rule 16b-3(b)(3) of the Exchange Act, or any successor definition adopted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Non-Qualified Share Option</w:t>
      </w:r>
      <w:r>
        <w:rPr>
          <w:rFonts w:ascii="Times New Roman" w:cs="Times New Roman" w:eastAsia="Times New Roman" w:hAnsi="Times New Roman"/>
          <w:sz w:val="18"/>
          <w:szCs w:val="18"/>
          <w:color w:val="auto"/>
        </w:rPr>
        <w:t>” means an Option that is not intended to be an Incentive Share Option.</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right granted to a Participant pursuant to Article 5 of the Plan to purchase a specified number of Shares at a specified price during specified time periods. An Option may be either an Incentive Share Option or a Non-Qualified Share Option.</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person who, as a member of the Board, Consultant, Employee or a Service Provider (including their respective Permitted Vehicles), has been granted an Award pursuant to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under Section 424(e) of the Code.</w:t>
      </w:r>
    </w:p>
    <w:p>
      <w:pPr>
        <w:spacing w:after="0" w:line="225"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2.22          “</w:t>
      </w:r>
      <w:r>
        <w:rPr>
          <w:rFonts w:ascii="Times New Roman" w:cs="Times New Roman" w:eastAsia="Times New Roman" w:hAnsi="Times New Roman"/>
          <w:sz w:val="17"/>
          <w:szCs w:val="17"/>
          <w:u w:val="single" w:color="auto"/>
          <w:color w:val="auto"/>
        </w:rPr>
        <w:t>Permitted Vehicle</w:t>
      </w:r>
      <w:r>
        <w:rPr>
          <w:rFonts w:ascii="Times New Roman" w:cs="Times New Roman" w:eastAsia="Times New Roman" w:hAnsi="Times New Roman"/>
          <w:sz w:val="17"/>
          <w:szCs w:val="17"/>
          <w:color w:val="auto"/>
        </w:rPr>
        <w:t>” means, with respect to a natural person, any trust, partnership, limited liability company, corporation or other entity that is beneficially owned by, or that is formed and maintained for the benefit of, such person and/or one or more members of such person’s family.</w:t>
      </w:r>
    </w:p>
    <w:p>
      <w:pPr>
        <w:spacing w:after="0" w:line="14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JOYY Inc. Second Amended and Restated 2011 Share Incentive Plan, as it may be further amended and/or restated from time to time.</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business, corporation, partnership, limited liability company or other entity in which the Company, a Parent or Subsidiary of the Company holds a substantial ownership interest, directly or indirectly, but which is not a Subsidiary and which the Board designates as a Related Entity for purposes of the Plan.</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means a Share awarded to a Participant pursuant to Article 6 that is subject to certain restrictions and may be subject to risk of forfeiture.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Restricted Share Unit</w:t>
      </w:r>
      <w:r>
        <w:rPr>
          <w:rFonts w:ascii="Times New Roman" w:cs="Times New Roman" w:eastAsia="Times New Roman" w:hAnsi="Times New Roman"/>
          <w:sz w:val="18"/>
          <w:szCs w:val="18"/>
          <w:color w:val="auto"/>
        </w:rPr>
        <w:t>” means the right granted to a Participant pursuant to Article 7 to receive a Share at a future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of the United States, as amended.</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any service provider expressly determined and approved by the Committee if: (a) such service provider renders bona fide services, including but not limited to marketing, technical support and labor services, to a Service Recipient; (b) the services rendered by such service provider are not in connection with the offer or sale of securities in a capital-raising transaction and do not directly or indirectly promote or maintain a market for the Company’s securities; and (c) the service provider is a natural person.</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the Company, any Parent or Subsidiary of the Company and any Related Entity to which a Participant provides services as an Employee, a Consultant, a Director or a Service Provider.</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any class of Common Shares of the Company, and such other securities of the Company that may be substituted for Shares pursuant to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 w:name="page34"/>
    <w:bookmarkEnd w:id="33"/>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or other entity of which a majority of the outstanding voting shares or voting power is beneficially owned directly or indirectly by the Company.</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Trading Date</w:t>
      </w:r>
      <w:r>
        <w:rPr>
          <w:rFonts w:ascii="Times New Roman" w:cs="Times New Roman" w:eastAsia="Times New Roman" w:hAnsi="Times New Roman"/>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Number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89" w:lineRule="auto"/>
        <w:rPr>
          <w:sz w:val="20"/>
          <w:szCs w:val="20"/>
          <w:color w:val="auto"/>
        </w:rPr>
      </w:pPr>
      <w:r>
        <w:rPr>
          <w:rFonts w:ascii="Times New Roman" w:cs="Times New Roman" w:eastAsia="Times New Roman" w:hAnsi="Times New Roman"/>
          <w:sz w:val="17"/>
          <w:szCs w:val="17"/>
          <w:color w:val="auto"/>
        </w:rPr>
        <w:t>(a)            Subject to the provisions of Article 9 and Section 3.1(b), the maximum aggregate number of Shares which may be issued pursuant to all Awards (including Incentive Share Options) shall be 231,950,949, plus an annual increase of 20,000,000 Shares on the first day of each fiscal year, beginning in 2027, or such lesser number of Class A Common Shares as determined by the board of directors of the Company.</w:t>
      </w:r>
    </w:p>
    <w:p>
      <w:pPr>
        <w:spacing w:after="0" w:line="158" w:lineRule="exact"/>
        <w:rPr>
          <w:sz w:val="20"/>
          <w:szCs w:val="20"/>
          <w:color w:val="auto"/>
        </w:rPr>
      </w:pPr>
    </w:p>
    <w:p>
      <w:pPr>
        <w:ind w:left="660" w:right="100" w:firstLine="1296"/>
        <w:spacing w:after="0" w:line="254" w:lineRule="auto"/>
        <w:rPr>
          <w:sz w:val="20"/>
          <w:szCs w:val="20"/>
          <w:color w:val="auto"/>
        </w:rPr>
      </w:pPr>
      <w:r>
        <w:rPr>
          <w:rFonts w:ascii="Times New Roman" w:cs="Times New Roman" w:eastAsia="Times New Roman" w:hAnsi="Times New Roman"/>
          <w:sz w:val="18"/>
          <w:szCs w:val="18"/>
          <w:color w:val="auto"/>
        </w:rPr>
        <w:t>(b)            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w:t>
      </w:r>
    </w:p>
    <w:p>
      <w:pPr>
        <w:spacing w:after="0" w:line="18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Shares Distributed</w:t>
      </w:r>
      <w:r>
        <w:rPr>
          <w:rFonts w:ascii="Times New Roman" w:cs="Times New Roman" w:eastAsia="Times New Roman" w:hAnsi="Times New Roman"/>
          <w:sz w:val="18"/>
          <w:szCs w:val="18"/>
          <w:color w:val="auto"/>
        </w:rPr>
        <w:t>. Any Shares distributed pursuant to an Award may consist, in whole or in part, of authorized and unissued Shares, treasury shares (subject to Applicable Laws) or Shares purchased on the open market. Additionally, in the discretion of the Committee, American Depository Shares in an amount equal to the number of Shares which otherwise would be distributed pursuant to an Award may be distributed in lieu of Shares in settlement of any Award. If the number of Shares represented by an American Depository Share is other than on a one-to-one basis, the limitations of Section 3.1 shall be adjusted to reflect the distribution of American Depository Shares in lieu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Eligibility</w:t>
      </w:r>
      <w:r>
        <w:rPr>
          <w:rFonts w:ascii="Times New Roman" w:cs="Times New Roman" w:eastAsia="Times New Roman" w:hAnsi="Times New Roman"/>
          <w:sz w:val="18"/>
          <w:szCs w:val="18"/>
          <w:color w:val="auto"/>
        </w:rPr>
        <w:t>. Persons eligible to participate in this Plan include Employees, Consultants, Service Providers and all members of the Board (and their respective Permitted Vehicles), as determined by the Committee.</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Participation</w:t>
      </w:r>
      <w:r>
        <w:rPr>
          <w:rFonts w:ascii="Times New Roman" w:cs="Times New Roman" w:eastAsia="Times New Roman" w:hAnsi="Times New Roman"/>
          <w:sz w:val="18"/>
          <w:szCs w:val="18"/>
          <w:color w:val="auto"/>
        </w:rPr>
        <w:t>. Subject to the provisions of the Plan, the Committee may, from time to time, select from among all eligible persons, those to whom Awards shall be granted and shall determine the nature and amount of each Award. No person shall have any right to be granted an Award pursuant to this Plan.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Jurisdictions</w:t>
      </w:r>
      <w:r>
        <w:rPr>
          <w:rFonts w:ascii="Times New Roman" w:cs="Times New Roman" w:eastAsia="Times New Roman" w:hAnsi="Times New Roman"/>
          <w:sz w:val="18"/>
          <w:szCs w:val="18"/>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The Committee is authorized to grant Options to Participants on the following terms and conditions:</w:t>
      </w:r>
    </w:p>
    <w:p>
      <w:pPr>
        <w:spacing w:after="0" w:line="225" w:lineRule="exact"/>
        <w:rPr>
          <w:sz w:val="20"/>
          <w:szCs w:val="20"/>
          <w:color w:val="auto"/>
        </w:rPr>
      </w:pPr>
    </w:p>
    <w:p>
      <w:pPr>
        <w:ind w:left="660" w:right="140"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The exercise price per Share subject to an Option shall be determined by the Committee and set forth in the Award Agreement which may be a fixed or variable price related to the Fair Market Value of the Shares. The exercise price per Share subject to an Option may be amended or adjusted in the absolute discretion of the Committee, the determination of which shall be final, binding and conclusive.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Participants.</w:t>
      </w:r>
    </w:p>
    <w:p>
      <w:pPr>
        <w:spacing w:after="0" w:line="187" w:lineRule="exact"/>
        <w:rPr>
          <w:sz w:val="20"/>
          <w:szCs w:val="20"/>
          <w:color w:val="auto"/>
        </w:rPr>
      </w:pPr>
    </w:p>
    <w:p>
      <w:pPr>
        <w:ind w:left="660" w:right="80"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Time and Conditions of Exercise</w:t>
      </w:r>
      <w:r>
        <w:rPr>
          <w:rFonts w:ascii="Times New Roman" w:cs="Times New Roman" w:eastAsia="Times New Roman" w:hAnsi="Times New Roman"/>
          <w:sz w:val="18"/>
          <w:szCs w:val="18"/>
          <w:color w:val="auto"/>
        </w:rPr>
        <w:t>. The Committee shall determine the time or times at which an Option may be exercised in whole or in part, including exercise prior to vesting; provided that the term of any Option granted under the Plan shall not exceed ten years, except as provided in Section 12.1. The Committee shall also determine any conditions, if any, that must be satisfied before all or part of an Option may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5" w:name="page36"/>
    <w:bookmarkEnd w:id="35"/>
    <w:p>
      <w:pPr>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The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provided 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Evidence of Grant</w:t>
      </w:r>
      <w:r>
        <w:rPr>
          <w:rFonts w:ascii="Times New Roman" w:cs="Times New Roman" w:eastAsia="Times New Roman" w:hAnsi="Times New Roman"/>
          <w:sz w:val="18"/>
          <w:szCs w:val="18"/>
          <w:color w:val="auto"/>
        </w:rPr>
        <w:t>. All Options shall be evidenced by an Award Agreement between the Company and the Participant.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Agreement shall include such additional provisions as may be specified by the Committee.</w:t>
      </w:r>
    </w:p>
    <w:p>
      <w:pPr>
        <w:spacing w:after="0" w:line="207"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Effects of Termination of Employment or Service on Options</w:t>
      </w:r>
      <w:r>
        <w:rPr>
          <w:rFonts w:ascii="Times New Roman" w:cs="Times New Roman" w:eastAsia="Times New Roman" w:hAnsi="Times New Roman"/>
          <w:sz w:val="18"/>
          <w:szCs w:val="18"/>
          <w:color w:val="auto"/>
        </w:rPr>
        <w:t>. Termination of employment or service shall have the following effects on Options granted to the Participants:</w:t>
      </w:r>
    </w:p>
    <w:p>
      <w:pPr>
        <w:spacing w:after="0" w:line="162" w:lineRule="exact"/>
        <w:rPr>
          <w:sz w:val="20"/>
          <w:szCs w:val="20"/>
          <w:color w:val="auto"/>
        </w:rPr>
      </w:pPr>
    </w:p>
    <w:p>
      <w:pPr>
        <w:ind w:right="160"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Dismissal for Cause</w:t>
      </w:r>
      <w:r>
        <w:rPr>
          <w:rFonts w:ascii="Times New Roman" w:cs="Times New Roman" w:eastAsia="Times New Roman" w:hAnsi="Times New Roman"/>
          <w:sz w:val="18"/>
          <w:szCs w:val="18"/>
          <w:color w:val="auto"/>
        </w:rPr>
        <w:t>. Unless otherwise provided in the Award Agreement, if a Participant’s employment by or service to the Service Recipient is terminated by the Service Recipient for Cause, the Participant’s Options will terminate upon such termination, whether or not the Option is then vested and/or exercisable;</w:t>
      </w:r>
    </w:p>
    <w:p>
      <w:pPr>
        <w:spacing w:after="0" w:line="176" w:lineRule="exact"/>
        <w:rPr>
          <w:sz w:val="20"/>
          <w:szCs w:val="20"/>
          <w:color w:val="auto"/>
        </w:rPr>
      </w:pPr>
    </w:p>
    <w:p>
      <w:pPr>
        <w:ind w:right="360" w:firstLine="1944"/>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Unless otherwise provided in the Award Agreement, if a Participant’s employment by or service to the Service Recipient terminates as a result of the Participant’s death or Disability:</w:t>
      </w:r>
    </w:p>
    <w:p>
      <w:pPr>
        <w:spacing w:after="0" w:line="162" w:lineRule="exact"/>
        <w:rPr>
          <w:sz w:val="20"/>
          <w:szCs w:val="20"/>
          <w:color w:val="auto"/>
        </w:rPr>
      </w:pPr>
    </w:p>
    <w:p>
      <w:pPr>
        <w:ind w:left="640" w:firstLine="1944"/>
        <w:spacing w:after="0" w:line="261" w:lineRule="auto"/>
        <w:rPr>
          <w:sz w:val="20"/>
          <w:szCs w:val="20"/>
          <w:color w:val="auto"/>
        </w:rPr>
      </w:pPr>
      <w:r>
        <w:rPr>
          <w:rFonts w:ascii="Times New Roman" w:cs="Times New Roman" w:eastAsia="Times New Roman" w:hAnsi="Times New Roman"/>
          <w:sz w:val="18"/>
          <w:szCs w:val="18"/>
          <w:color w:val="auto"/>
        </w:rPr>
        <w:t>(a)            the Participant (or his or her legal representative or beneficiary, in the case of the Participant’s Disability or death, respectively), will have until the date that is 12 months after the Participant’s termination of Employment to exercise the Participant’s Options (or portion thereof) to the extent that such Options were vested and exercisable on the date of the Participant’s termination of Employment on account of death or Disability;</w:t>
      </w:r>
    </w:p>
    <w:p>
      <w:pPr>
        <w:spacing w:after="0" w:line="180" w:lineRule="exact"/>
        <w:rPr>
          <w:sz w:val="20"/>
          <w:szCs w:val="20"/>
          <w:color w:val="auto"/>
        </w:rPr>
      </w:pPr>
    </w:p>
    <w:p>
      <w:pPr>
        <w:ind w:left="640" w:right="240" w:firstLine="1944"/>
        <w:spacing w:after="0" w:line="266" w:lineRule="auto"/>
        <w:rPr>
          <w:sz w:val="20"/>
          <w:szCs w:val="20"/>
          <w:color w:val="auto"/>
        </w:rPr>
      </w:pPr>
      <w:r>
        <w:rPr>
          <w:rFonts w:ascii="Times New Roman" w:cs="Times New Roman" w:eastAsia="Times New Roman" w:hAnsi="Times New Roman"/>
          <w:sz w:val="18"/>
          <w:szCs w:val="18"/>
          <w:color w:val="auto"/>
        </w:rPr>
        <w:t>(b)            the Options, to the extent not vested and exercisable on the date of the Participant’s termination of Employment or service, shall terminate upon the Participant’s termination of Employment or service on account of death or Disability;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414655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ind w:left="1300" w:right="20" w:firstLine="1944"/>
        <w:spacing w:after="0" w:line="266" w:lineRule="auto"/>
        <w:rPr>
          <w:sz w:val="20"/>
          <w:szCs w:val="20"/>
          <w:color w:val="auto"/>
        </w:rPr>
      </w:pPr>
      <w:r>
        <w:rPr>
          <w:rFonts w:ascii="Times New Roman" w:cs="Times New Roman" w:eastAsia="Times New Roman" w:hAnsi="Times New Roman"/>
          <w:sz w:val="18"/>
          <w:szCs w:val="18"/>
          <w:color w:val="auto"/>
        </w:rPr>
        <w:t>(c)            the Options, to the extent exercisable for the 12-month period following the Participant’s termination of Employment or service and not exercised during such period, shall terminate at the close of business on the last day of the 12-month period.</w:t>
      </w:r>
    </w:p>
    <w:p>
      <w:pPr>
        <w:spacing w:after="0" w:line="176" w:lineRule="exact"/>
        <w:rPr>
          <w:sz w:val="20"/>
          <w:szCs w:val="20"/>
          <w:color w:val="auto"/>
        </w:rPr>
      </w:pPr>
    </w:p>
    <w:p>
      <w:pPr>
        <w:ind w:left="660" w:right="260" w:firstLine="1944"/>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Other Terminations of Employment or Service</w:t>
      </w:r>
      <w:r>
        <w:rPr>
          <w:rFonts w:ascii="Times New Roman" w:cs="Times New Roman" w:eastAsia="Times New Roman" w:hAnsi="Times New Roman"/>
          <w:sz w:val="18"/>
          <w:szCs w:val="18"/>
          <w:color w:val="auto"/>
        </w:rPr>
        <w:t>. Unless otherwise provided in the Award Agreement, if a Participant’s employment by or service to the Service Recipient terminates for any reason other than a termination by the Service Recipient for Cause or because of the Participant’s death or Disability:</w:t>
      </w:r>
    </w:p>
    <w:p>
      <w:pPr>
        <w:spacing w:after="0" w:line="176" w:lineRule="exact"/>
        <w:rPr>
          <w:sz w:val="20"/>
          <w:szCs w:val="20"/>
          <w:color w:val="auto"/>
        </w:rPr>
      </w:pPr>
    </w:p>
    <w:p>
      <w:pPr>
        <w:jc w:val="both"/>
        <w:ind w:left="1300" w:firstLine="1944"/>
        <w:spacing w:after="0" w:line="266" w:lineRule="auto"/>
        <w:rPr>
          <w:sz w:val="20"/>
          <w:szCs w:val="20"/>
          <w:color w:val="auto"/>
        </w:rPr>
      </w:pPr>
      <w:r>
        <w:rPr>
          <w:rFonts w:ascii="Times New Roman" w:cs="Times New Roman" w:eastAsia="Times New Roman" w:hAnsi="Times New Roman"/>
          <w:sz w:val="18"/>
          <w:szCs w:val="18"/>
          <w:color w:val="auto"/>
        </w:rPr>
        <w:t>(a)            the Participant will have until the date that is 90 days after the Participant’s termination of Employment or service to exercise his or her Options (or portion thereof) to the extent that such Options were vested and exercisable on the date of the Participant’s termination of Employment or service;</w:t>
      </w:r>
    </w:p>
    <w:p>
      <w:pPr>
        <w:spacing w:after="0" w:line="176" w:lineRule="exact"/>
        <w:rPr>
          <w:sz w:val="20"/>
          <w:szCs w:val="20"/>
          <w:color w:val="auto"/>
        </w:rPr>
      </w:pPr>
    </w:p>
    <w:p>
      <w:pPr>
        <w:ind w:left="1300" w:right="420" w:firstLine="1944"/>
        <w:spacing w:after="0" w:line="282" w:lineRule="auto"/>
        <w:rPr>
          <w:sz w:val="20"/>
          <w:szCs w:val="20"/>
          <w:color w:val="auto"/>
        </w:rPr>
      </w:pPr>
      <w:r>
        <w:rPr>
          <w:rFonts w:ascii="Times New Roman" w:cs="Times New Roman" w:eastAsia="Times New Roman" w:hAnsi="Times New Roman"/>
          <w:sz w:val="18"/>
          <w:szCs w:val="18"/>
          <w:color w:val="auto"/>
        </w:rPr>
        <w:t>(b)            the Options, to the extent not vested and exercisable on the date of the Participant’s termination of Employment or service, shall terminate upon the Participant’s termination of Employment or service; and</w:t>
      </w:r>
    </w:p>
    <w:p>
      <w:pPr>
        <w:spacing w:after="0" w:line="162" w:lineRule="exact"/>
        <w:rPr>
          <w:sz w:val="20"/>
          <w:szCs w:val="20"/>
          <w:color w:val="auto"/>
        </w:rPr>
      </w:pPr>
    </w:p>
    <w:p>
      <w:pPr>
        <w:ind w:left="1300" w:right="20" w:firstLine="1944"/>
        <w:spacing w:after="0" w:line="312" w:lineRule="auto"/>
        <w:rPr>
          <w:sz w:val="20"/>
          <w:szCs w:val="20"/>
          <w:color w:val="auto"/>
        </w:rPr>
      </w:pPr>
      <w:r>
        <w:rPr>
          <w:rFonts w:ascii="Times New Roman" w:cs="Times New Roman" w:eastAsia="Times New Roman" w:hAnsi="Times New Roman"/>
          <w:sz w:val="17"/>
          <w:szCs w:val="17"/>
          <w:color w:val="auto"/>
        </w:rPr>
        <w:t>(c)            the Options, to the extent exercisable for the 90-day period following the Participant’s termination of Employment or service and not exercised during such period, shall terminate at the close of business on the last day of the 90-day period.</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Incentive Share Options</w:t>
      </w:r>
      <w:r>
        <w:rPr>
          <w:rFonts w:ascii="Times New Roman" w:cs="Times New Roman" w:eastAsia="Times New Roman" w:hAnsi="Times New Roman"/>
          <w:sz w:val="18"/>
          <w:szCs w:val="18"/>
          <w:color w:val="auto"/>
        </w:rPr>
        <w:t>. Incentive Share Options may be granted to Employees of the Company, a Parent or Subsidiary of the Company. Incentive Share Options may not be granted to Employees of a Related Entity or to Independent Directors or Consultants. The terms of any Incentive Share Options granted pursuant to the Plan, in addition to the requirements of Section 5.1, must comply with the following additional provisions of this Section 5.2:</w:t>
      </w:r>
    </w:p>
    <w:p>
      <w:pPr>
        <w:spacing w:after="0" w:line="180" w:lineRule="exact"/>
        <w:rPr>
          <w:sz w:val="20"/>
          <w:szCs w:val="20"/>
          <w:color w:val="auto"/>
        </w:rPr>
      </w:pPr>
    </w:p>
    <w:p>
      <w:pPr>
        <w:ind w:left="660" w:right="10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Individual Dollar Limitation</w:t>
      </w:r>
      <w:r>
        <w:rPr>
          <w:rFonts w:ascii="Times New Roman" w:cs="Times New Roman" w:eastAsia="Times New Roman" w:hAnsi="Times New Roman"/>
          <w:sz w:val="18"/>
          <w:szCs w:val="18"/>
          <w:color w:val="auto"/>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180" w:lineRule="exact"/>
        <w:rPr>
          <w:sz w:val="20"/>
          <w:szCs w:val="20"/>
          <w:color w:val="auto"/>
        </w:rPr>
      </w:pPr>
    </w:p>
    <w:p>
      <w:pPr>
        <w:ind w:left="660"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may not be less than 110% of Fair Market Value on the date of grant and such Option may not be exercisable for more than five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7" w:name="page38"/>
    <w:bookmarkEnd w:id="37"/>
    <w:p>
      <w:pPr>
        <w:ind w:left="660" w:right="140"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Transfer Restriction</w:t>
      </w:r>
      <w:r>
        <w:rPr>
          <w:rFonts w:ascii="Times New Roman" w:cs="Times New Roman" w:eastAsia="Times New Roman" w:hAnsi="Times New Roman"/>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176" w:lineRule="exact"/>
        <w:rPr>
          <w:sz w:val="20"/>
          <w:szCs w:val="20"/>
          <w:color w:val="auto"/>
        </w:rPr>
      </w:pPr>
    </w:p>
    <w:p>
      <w:pPr>
        <w:ind w:left="660" w:right="200"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Expiration of Incentive Share Options</w:t>
      </w:r>
      <w:r>
        <w:rPr>
          <w:rFonts w:ascii="Times New Roman" w:cs="Times New Roman" w:eastAsia="Times New Roman" w:hAnsi="Times New Roman"/>
          <w:sz w:val="18"/>
          <w:szCs w:val="18"/>
          <w:color w:val="auto"/>
        </w:rPr>
        <w:t>. No Award of an Incentive Share Option may be made pursuant to this Plan after the tenth anniversary of the Effective Date.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Right to Exercise</w:t>
      </w:r>
      <w:r>
        <w:rPr>
          <w:rFonts w:ascii="Times New Roman" w:cs="Times New Roman" w:eastAsia="Times New Roman" w:hAnsi="Times New Roman"/>
          <w:sz w:val="18"/>
          <w:szCs w:val="18"/>
          <w:color w:val="auto"/>
        </w:rPr>
        <w:t>. During a Participant’s lifetime, an Incentive Share Option may be exercised only by the Participant.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Grant of Restricted Shares</w:t>
      </w:r>
      <w:r>
        <w:rPr>
          <w:rFonts w:ascii="Times New Roman" w:cs="Times New Roman" w:eastAsia="Times New Roman" w:hAnsi="Times New Roman"/>
          <w:sz w:val="18"/>
          <w:szCs w:val="18"/>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Restricted Shares Award Agreement</w:t>
      </w:r>
      <w:r>
        <w:rPr>
          <w:rFonts w:ascii="Times New Roman" w:cs="Times New Roman" w:eastAsia="Times New Roman" w:hAnsi="Times New Roman"/>
          <w:sz w:val="18"/>
          <w:szCs w:val="18"/>
          <w:color w:val="auto"/>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Issuance and Restrictions</w:t>
      </w:r>
      <w:r>
        <w:rPr>
          <w:rFonts w:ascii="Times New Roman" w:cs="Times New Roman" w:eastAsia="Times New Roman" w:hAnsi="Times New Roman"/>
          <w:sz w:val="18"/>
          <w:szCs w:val="18"/>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Forfeiture/Repurchase</w:t>
      </w:r>
      <w:r>
        <w:rPr>
          <w:rFonts w:ascii="Times New Roman" w:cs="Times New Roman" w:eastAsia="Times New Roman" w:hAnsi="Times New Roman"/>
          <w:sz w:val="18"/>
          <w:szCs w:val="18"/>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Certificates for Restricted Shares</w:t>
      </w:r>
      <w:r>
        <w:rPr>
          <w:rFonts w:ascii="Times New Roman" w:cs="Times New Roman" w:eastAsia="Times New Roman" w:hAnsi="Times New Roman"/>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8" w:name="page39"/>
    <w:bookmarkEnd w:id="38"/>
    <w:p>
      <w:pPr>
        <w:ind w:firstLine="648"/>
        <w:spacing w:after="0" w:line="256"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Removal of Restrictions</w:t>
      </w:r>
      <w:r>
        <w:rPr>
          <w:rFonts w:ascii="Times New Roman" w:cs="Times New Roman" w:eastAsia="Times New Roman" w:hAnsi="Times New Roman"/>
          <w:sz w:val="18"/>
          <w:szCs w:val="18"/>
          <w:color w:val="auto"/>
        </w:rPr>
        <w:t>. Except as otherwise provided in this Article 6,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6.5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Grant of Restricted Share Units</w:t>
      </w:r>
      <w:r>
        <w:rPr>
          <w:rFonts w:ascii="Times New Roman" w:cs="Times New Roman" w:eastAsia="Times New Roman" w:hAnsi="Times New Roman"/>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Restricted Share Units Award Agreement</w:t>
      </w:r>
      <w:r>
        <w:rPr>
          <w:rFonts w:ascii="Times New Roman" w:cs="Times New Roman" w:eastAsia="Times New Roman" w:hAnsi="Times New Roman"/>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76"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7.3          </w:t>
      </w:r>
      <w:r>
        <w:rPr>
          <w:rFonts w:ascii="Times New Roman" w:cs="Times New Roman" w:eastAsia="Times New Roman" w:hAnsi="Times New Roman"/>
          <w:sz w:val="17"/>
          <w:szCs w:val="17"/>
          <w:u w:val="single" w:color="auto"/>
          <w:color w:val="auto"/>
        </w:rPr>
        <w:t>  Performance Objectives and Other Terms</w:t>
      </w:r>
      <w:r>
        <w:rPr>
          <w:rFonts w:ascii="Times New Roman" w:cs="Times New Roman" w:eastAsia="Times New Roman" w:hAnsi="Times New Roman"/>
          <w:sz w:val="17"/>
          <w:szCs w:val="17"/>
          <w:color w:val="auto"/>
        </w:rPr>
        <w:t>. The Committee, in its discretion, may set performance objectives or other vesting criteria which, depending on the extent to which they are met, will determine the number or value of Restricted Share Units that will be paid out to the Participants.</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Form and Timing of Payment of Restricted Share Units</w:t>
      </w:r>
      <w:r>
        <w:rPr>
          <w:rFonts w:ascii="Times New Roman" w:cs="Times New Roman" w:eastAsia="Times New Roman" w:hAnsi="Times New Roman"/>
          <w:sz w:val="18"/>
          <w:szCs w:val="18"/>
          <w:color w:val="auto"/>
        </w:rPr>
        <w:t>. At the time of grant, the Committee shall specify the date or dates on which the Restricted Share Units shall become fully vested and nonforfeitable. Upon vesting, the Committee, in its sole discretion, may pay Restricted Share Units in the form of cash, in Shares or in a combination thereof.</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Forfeiture/Repurchase</w:t>
      </w:r>
      <w:r>
        <w:rPr>
          <w:rFonts w:ascii="Times New Roman" w:cs="Times New Roman" w:eastAsia="Times New Roman" w:hAnsi="Times New Roman"/>
          <w:sz w:val="18"/>
          <w:szCs w:val="18"/>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Award Agreement</w:t>
      </w:r>
      <w:r>
        <w:rPr>
          <w:rFonts w:ascii="Times New Roman" w:cs="Times New Roman" w:eastAsia="Times New Roman" w:hAnsi="Times New Roman"/>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No Transferability; Limited Exception to 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8.2.1       </w:t>
      </w:r>
      <w:r>
        <w:rPr>
          <w:rFonts w:ascii="Times New Roman" w:cs="Times New Roman" w:eastAsia="Times New Roman" w:hAnsi="Times New Roman"/>
          <w:sz w:val="18"/>
          <w:szCs w:val="18"/>
          <w:u w:val="single" w:color="auto"/>
          <w:color w:val="auto"/>
        </w:rPr>
        <w:t>  Limits on Transfer</w:t>
      </w:r>
      <w:r>
        <w:rPr>
          <w:rFonts w:ascii="Times New Roman" w:cs="Times New Roman" w:eastAsia="Times New Roman" w:hAnsi="Times New Roman"/>
          <w:sz w:val="18"/>
          <w:szCs w:val="18"/>
          <w:color w:val="auto"/>
        </w:rPr>
        <w:t>. Unless otherwise expressly provided in (or pursuant to) this Section 8.2, by applicable law and by the Award Agreement, as the same may be amended:</w:t>
      </w:r>
    </w:p>
    <w:p>
      <w:pPr>
        <w:spacing w:after="0" w:line="162" w:lineRule="exact"/>
        <w:rPr>
          <w:sz w:val="20"/>
          <w:szCs w:val="20"/>
          <w:color w:val="auto"/>
        </w:rPr>
      </w:pPr>
    </w:p>
    <w:p>
      <w:pPr>
        <w:ind w:left="660" w:right="840" w:firstLine="1296"/>
        <w:spacing w:after="0" w:line="282" w:lineRule="auto"/>
        <w:rPr>
          <w:sz w:val="20"/>
          <w:szCs w:val="20"/>
          <w:color w:val="auto"/>
        </w:rPr>
      </w:pPr>
      <w:r>
        <w:rPr>
          <w:rFonts w:ascii="Times New Roman" w:cs="Times New Roman" w:eastAsia="Times New Roman" w:hAnsi="Times New Roman"/>
          <w:sz w:val="18"/>
          <w:szCs w:val="18"/>
          <w:color w:val="auto"/>
        </w:rPr>
        <w:t>(a)            all Awards are non-transferable and will not be subject in any manner to sale, transfer, anticipation, alienation, assignment, pledge, encumbrance or charge;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Awards will be exercised only by the Participant; and</w:t>
      </w:r>
    </w:p>
    <w:p>
      <w:pPr>
        <w:spacing w:after="0" w:line="225"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(c)            amounts payable or shares issuable pursuant to an Award will be delivered only to (or for the account of), and, in the case of Shares, registered in the name of, the Participant.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shares shall be subject to the restrictions set forth in the applicable Award Agreement.</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8.2.2       </w:t>
      </w:r>
      <w:r>
        <w:rPr>
          <w:rFonts w:ascii="Times New Roman" w:cs="Times New Roman" w:eastAsia="Times New Roman" w:hAnsi="Times New Roman"/>
          <w:sz w:val="18"/>
          <w:szCs w:val="18"/>
          <w:u w:val="single" w:color="auto"/>
          <w:color w:val="auto"/>
        </w:rPr>
        <w:t>  Further Exceptions to Limits on Transfer</w:t>
      </w:r>
      <w:r>
        <w:rPr>
          <w:rFonts w:ascii="Times New Roman" w:cs="Times New Roman" w:eastAsia="Times New Roman" w:hAnsi="Times New Roman"/>
          <w:sz w:val="18"/>
          <w:szCs w:val="18"/>
          <w:color w:val="auto"/>
        </w:rPr>
        <w:t>. The exercise and transfer restrictions in Section 8.2.1 will not apply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transfers to the Company or a Subsidiary;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transfers by gift to “immediate family” as that term is defined in SEC Rule 16a-1(e) promulgated under the Exchange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660" w:right="340" w:firstLine="1296"/>
        <w:spacing w:after="0" w:line="266" w:lineRule="auto"/>
        <w:rPr>
          <w:sz w:val="20"/>
          <w:szCs w:val="20"/>
          <w:color w:val="auto"/>
        </w:rPr>
      </w:pPr>
      <w:r>
        <w:rPr>
          <w:rFonts w:ascii="Times New Roman" w:cs="Times New Roman" w:eastAsia="Times New Roman" w:hAnsi="Times New Roman"/>
          <w:sz w:val="18"/>
          <w:szCs w:val="18"/>
          <w:color w:val="auto"/>
        </w:rPr>
        <w:t>(c)            the designation of a beneficiary to receive benefits if the Participant dies or, if the Participant has died, transfers to or exercises by the Participant’s beneficiary, or, in the absence of a validly designated beneficiary, transfers by will or the laws of descent and distribution; or</w:t>
      </w:r>
    </w:p>
    <w:p>
      <w:pPr>
        <w:spacing w:after="0" w:line="176"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(d)            if the Participant has suffered a disability, permitted transfers or exercises on behalf of the Participant by the Participant’s duly authorized legal representative; or</w:t>
      </w:r>
    </w:p>
    <w:p>
      <w:pPr>
        <w:spacing w:after="0" w:line="162" w:lineRule="exact"/>
        <w:rPr>
          <w:sz w:val="20"/>
          <w:szCs w:val="20"/>
          <w:color w:val="auto"/>
        </w:rPr>
      </w:pPr>
    </w:p>
    <w:p>
      <w:pPr>
        <w:ind w:left="660" w:firstLine="1296"/>
        <w:spacing w:after="0" w:line="255" w:lineRule="auto"/>
        <w:rPr>
          <w:sz w:val="20"/>
          <w:szCs w:val="20"/>
          <w:color w:val="auto"/>
        </w:rPr>
      </w:pPr>
      <w:r>
        <w:rPr>
          <w:rFonts w:ascii="Times New Roman" w:cs="Times New Roman" w:eastAsia="Times New Roman" w:hAnsi="Times New Roman"/>
          <w:sz w:val="18"/>
          <w:szCs w:val="18"/>
          <w:color w:val="auto"/>
        </w:rPr>
        <w:t>(e)            subject to the prior approval of the Committee or an executive officer or director of the Company authorized by the 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or may establish. Any permitted transfer shall be subject to the condition that the Committee receives evidence satisfactory to it that the transfer is being made for estate and/or tax planning purposes and on a basis consistent with the Company’s lawful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0" w:name="page41"/>
    <w:bookmarkEnd w:id="40"/>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in this Section 8.2.2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Administrator in order for it to be effective.</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Beneficiaries</w:t>
      </w:r>
      <w:r>
        <w:rPr>
          <w:rFonts w:ascii="Times New Roman" w:cs="Times New Roman" w:eastAsia="Times New Roman" w:hAnsi="Times New Roman"/>
          <w:sz w:val="18"/>
          <w:szCs w:val="18"/>
          <w:color w:val="auto"/>
        </w:rPr>
        <w:t>. Notwithstanding Section 8.2,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Share Certificates</w:t>
      </w:r>
      <w:r>
        <w:rPr>
          <w:rFonts w:ascii="Times New Roman" w:cs="Times New Roman" w:eastAsia="Times New Roman" w:hAnsi="Times New Roman"/>
          <w:sz w:val="18"/>
          <w:szCs w:val="18"/>
          <w:color w:val="auto"/>
        </w:rPr>
        <w:t>.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19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Paperless Administration</w:t>
      </w:r>
      <w:r>
        <w:rPr>
          <w:rFonts w:ascii="Times New Roman" w:cs="Times New Roman" w:eastAsia="Times New Roman" w:hAnsi="Times New Roman"/>
          <w:sz w:val="18"/>
          <w:szCs w:val="18"/>
          <w:color w:val="auto"/>
        </w:rPr>
        <w:t>. Subject to Applicable Laws, the Committee may make Awards, provide applicable disclosure and procedures for exercise of Awards by an internet website or interactive voice response system for the paperless administration of Awards.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8.6          </w:t>
      </w:r>
      <w:r>
        <w:rPr>
          <w:rFonts w:ascii="Times New Roman" w:cs="Times New Roman" w:eastAsia="Times New Roman" w:hAnsi="Times New Roman"/>
          <w:sz w:val="18"/>
          <w:szCs w:val="18"/>
          <w:u w:val="single" w:color="auto"/>
          <w:color w:val="auto"/>
        </w:rPr>
        <w:t>  Foreign Currency</w:t>
      </w:r>
      <w:r>
        <w:rPr>
          <w:rFonts w:ascii="Times New Roman" w:cs="Times New Roman" w:eastAsia="Times New Roman" w:hAnsi="Times New Roman"/>
          <w:sz w:val="18"/>
          <w:szCs w:val="18"/>
          <w:color w:val="auto"/>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Peoples Republic of China, the exchange rate as selected by the Committee on the 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229"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7"/>
          <w:szCs w:val="17"/>
          <w:color w:val="auto"/>
        </w:rPr>
        <w:t>9.1          </w:t>
      </w:r>
      <w:r>
        <w:rPr>
          <w:rFonts w:ascii="Times New Roman" w:cs="Times New Roman" w:eastAsia="Times New Roman" w:hAnsi="Times New Roman"/>
          <w:sz w:val="17"/>
          <w:szCs w:val="17"/>
          <w:u w:val="single" w:color="auto"/>
          <w:color w:val="auto"/>
        </w:rPr>
        <w:t>  Adjustments</w:t>
      </w:r>
      <w:r>
        <w:rPr>
          <w:rFonts w:ascii="Times New Roman" w:cs="Times New Roman" w:eastAsia="Times New Roman" w:hAnsi="Times New Roman"/>
          <w:sz w:val="17"/>
          <w:szCs w:val="17"/>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shares of Shares or the share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Corporate Transactions</w:t>
      </w:r>
      <w:r>
        <w:rPr>
          <w:rFonts w:ascii="Times New Roman" w:cs="Times New Roman" w:eastAsia="Times New Roman" w:hAnsi="Times New Roman"/>
          <w:sz w:val="18"/>
          <w:szCs w:val="18"/>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 other than those specifically referred to in this Article 9,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w:t>
      </w:r>
    </w:p>
    <w:p>
      <w:pPr>
        <w:spacing w:after="0" w:line="180" w:lineRule="exact"/>
        <w:rPr>
          <w:sz w:val="20"/>
          <w:szCs w:val="20"/>
          <w:color w:val="auto"/>
        </w:rPr>
      </w:pPr>
    </w:p>
    <w:p>
      <w:pPr>
        <w:ind w:right="580" w:firstLine="648"/>
        <w:spacing w:after="0" w:line="277" w:lineRule="auto"/>
        <w:rPr>
          <w:sz w:val="20"/>
          <w:szCs w:val="20"/>
          <w:color w:val="auto"/>
        </w:rPr>
      </w:pPr>
      <w:r>
        <w:rPr>
          <w:rFonts w:ascii="Times New Roman" w:cs="Times New Roman" w:eastAsia="Times New Roman" w:hAnsi="Times New Roman"/>
          <w:sz w:val="17"/>
          <w:szCs w:val="17"/>
          <w:color w:val="auto"/>
        </w:rPr>
        <w:t>9.4          </w:t>
      </w:r>
      <w:r>
        <w:rPr>
          <w:rFonts w:ascii="Times New Roman" w:cs="Times New Roman" w:eastAsia="Times New Roman" w:hAnsi="Times New Roman"/>
          <w:sz w:val="17"/>
          <w:szCs w:val="17"/>
          <w:u w:val="single" w:color="auto"/>
          <w:color w:val="auto"/>
        </w:rPr>
        <w:t>  No Other Rights</w:t>
      </w:r>
      <w:r>
        <w:rPr>
          <w:rFonts w:ascii="Times New Roman" w:cs="Times New Roman" w:eastAsia="Times New Roman" w:hAnsi="Times New Roman"/>
          <w:sz w:val="17"/>
          <w:szCs w:val="17"/>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Committee</w:t>
      </w:r>
      <w:r>
        <w:rPr>
          <w:rFonts w:ascii="Times New Roman" w:cs="Times New Roman" w:eastAsia="Times New Roman" w:hAnsi="Times New Roman"/>
          <w:sz w:val="18"/>
          <w:szCs w:val="18"/>
          <w:color w:val="auto"/>
        </w:rPr>
        <w:t>. The Plan shall be administered by the Board or a committee of one or more members of the Board to whom the Board shall delegate the authority to grant or amend Awards to Participants other than any of the Committee members. Any grant or amendment of Awards to any Committee member shall then require the approval of a majority of the Board members who are not on the Committee.</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Action by the Committee</w:t>
      </w:r>
      <w:r>
        <w:rPr>
          <w:rFonts w:ascii="Times New Roman" w:cs="Times New Roman" w:eastAsia="Times New Roman" w:hAnsi="Times New Roman"/>
          <w:sz w:val="18"/>
          <w:szCs w:val="18"/>
          <w:color w:val="auto"/>
        </w:rPr>
        <w:t>. A quorum is only formed when all of the members of the Committee are present. The acts of a majority of the members of the Committee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8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Authority of the Committee</w:t>
      </w:r>
      <w:r>
        <w:rPr>
          <w:rFonts w:ascii="Times New Roman" w:cs="Times New Roman" w:eastAsia="Times New Roman" w:hAnsi="Times New Roman"/>
          <w:sz w:val="18"/>
          <w:szCs w:val="18"/>
          <w:color w:val="auto"/>
        </w:rPr>
        <w:t>. Subject to any specific designation in the Plan, the Committee has the exclusive power, authority and discretion to:</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designate Participants to receive Awards;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determine the type or types of Awards to be granted to each Participant;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determine the number of Awards to be granted and the number of Shares to which an Award will relate;</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(d)            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180" w:lineRule="exact"/>
        <w:rPr>
          <w:sz w:val="20"/>
          <w:szCs w:val="20"/>
          <w:color w:val="auto"/>
        </w:rPr>
      </w:pPr>
    </w:p>
    <w:p>
      <w:pPr>
        <w:ind w:left="660" w:right="100" w:firstLine="1296"/>
        <w:spacing w:after="0" w:line="282" w:lineRule="auto"/>
        <w:rPr>
          <w:sz w:val="20"/>
          <w:szCs w:val="20"/>
          <w:color w:val="auto"/>
        </w:rPr>
      </w:pPr>
      <w:r>
        <w:rPr>
          <w:rFonts w:ascii="Times New Roman" w:cs="Times New Roman" w:eastAsia="Times New Roman" w:hAnsi="Times New Roman"/>
          <w:sz w:val="18"/>
          <w:szCs w:val="18"/>
          <w:color w:val="auto"/>
        </w:rPr>
        <w:t>(e)            determine whether, to what extent, and pursuant to what circumstances an Award may be settled in, or the exercise price of an Award may be paid in, cash, Shares, other Awards, or other property, or an Award may be canceled, forfeited, or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3" w:name="page44"/>
    <w:bookmarkEnd w:id="43"/>
    <w:p>
      <w:pPr>
        <w:ind w:left="1960"/>
        <w:spacing w:after="0"/>
        <w:rPr>
          <w:sz w:val="20"/>
          <w:szCs w:val="20"/>
          <w:color w:val="auto"/>
        </w:rPr>
      </w:pPr>
      <w:r>
        <w:rPr>
          <w:rFonts w:ascii="Times New Roman" w:cs="Times New Roman" w:eastAsia="Times New Roman" w:hAnsi="Times New Roman"/>
          <w:sz w:val="18"/>
          <w:szCs w:val="18"/>
          <w:color w:val="auto"/>
        </w:rPr>
        <w:t>(f)            prescribe the form of each Award Agreement, which need not be identical for each Participant;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           decide all other matters that must be determined in connection with an Award;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           establish, adopt, or revise any rules and regulations as it may deem necessary or advisable to administer the Plan;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interpret the terms of, and any matter arising pursuant to, the Plan or any Award Agreement; and</w:t>
      </w:r>
    </w:p>
    <w:p>
      <w:pPr>
        <w:spacing w:after="0" w:line="225" w:lineRule="exact"/>
        <w:rPr>
          <w:sz w:val="20"/>
          <w:szCs w:val="20"/>
          <w:color w:val="auto"/>
        </w:rPr>
      </w:pPr>
    </w:p>
    <w:p>
      <w:pPr>
        <w:ind w:left="660" w:right="620" w:firstLine="1296"/>
        <w:spacing w:after="0" w:line="282" w:lineRule="auto"/>
        <w:rPr>
          <w:sz w:val="20"/>
          <w:szCs w:val="20"/>
          <w:color w:val="auto"/>
        </w:rPr>
      </w:pPr>
      <w:r>
        <w:rPr>
          <w:rFonts w:ascii="Times New Roman" w:cs="Times New Roman" w:eastAsia="Times New Roman" w:hAnsi="Times New Roman"/>
          <w:sz w:val="18"/>
          <w:szCs w:val="18"/>
          <w:color w:val="auto"/>
        </w:rPr>
        <w:t>(j)             make all other decisions and determinations that may be required pursuant to the Plan or as the Committee deems necessary or advisable to administer the Plan.</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Decisions Binding</w:t>
      </w:r>
      <w:r>
        <w:rPr>
          <w:rFonts w:ascii="Times New Roman" w:cs="Times New Roman" w:eastAsia="Times New Roman" w:hAnsi="Times New Roman"/>
          <w:sz w:val="18"/>
          <w:szCs w:val="18"/>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EFFECTIVE AND EXPIRATION DATE</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This Plan shall become effective on the date of its adoption by the Board or as otherwise specified by the Board when adopting the Plan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Replacement of Original Plan</w:t>
      </w:r>
      <w:r>
        <w:rPr>
          <w:rFonts w:ascii="Times New Roman" w:cs="Times New Roman" w:eastAsia="Times New Roman" w:hAnsi="Times New Roman"/>
          <w:sz w:val="18"/>
          <w:szCs w:val="18"/>
          <w:color w:val="auto"/>
        </w:rPr>
        <w:t>. The Plan shall replace the 2011 Share Incentive Plan in its entirety. The Awards granted and outstanding under the 2011 Share Incentive Plan and the evidencing original Award Agreements shall remain effective and binding under the Plan, subject to any amendment and modification to the original Award Agreements that the Committee, in its sole discretion, shall determine.</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12.1        </w:t>
      </w:r>
      <w:r>
        <w:rPr>
          <w:rFonts w:ascii="Times New Roman" w:cs="Times New Roman" w:eastAsia="Times New Roman" w:hAnsi="Times New Roman"/>
          <w:sz w:val="17"/>
          <w:szCs w:val="17"/>
          <w:u w:val="single" w:color="auto"/>
          <w:color w:val="auto"/>
        </w:rPr>
        <w:t>  Amendment, Modification, And Termination</w:t>
      </w:r>
      <w:r>
        <w:rPr>
          <w:rFonts w:ascii="Times New Roman" w:cs="Times New Roman" w:eastAsia="Times New Roman" w:hAnsi="Times New Roman"/>
          <w:sz w:val="17"/>
          <w:szCs w:val="17"/>
          <w:color w:val="auto"/>
        </w:rPr>
        <w:t xml:space="preserve">. With the approval of the Board, at any time and from time to time, the Committee may terminate, amend or modify the Plan;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to the extent necessary and desirable to comply with Applicable Laws,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w:t>
      </w:r>
    </w:p>
    <w:p>
      <w:pPr>
        <w:spacing w:after="0" w:line="3" w:lineRule="exact"/>
        <w:rPr>
          <w:sz w:val="20"/>
          <w:szCs w:val="20"/>
          <w:color w:val="auto"/>
        </w:rPr>
      </w:pPr>
    </w:p>
    <w:p>
      <w:pPr>
        <w:ind w:right="40" w:firstLine="8"/>
        <w:spacing w:after="0" w:line="255"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number of Shares available under the Plan (other than any adjustment as provided by Article 9), (ii) permits the Committee to extend the term of the Plan or the exercise period for an Option beyond ten years from the date of grant, or (iii) results in a material increase in benefits or a change in eligibility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4" w:name="page45"/>
    <w:bookmarkEnd w:id="44"/>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  Awards Previously Granted</w:t>
      </w:r>
      <w:r>
        <w:rPr>
          <w:rFonts w:ascii="Times New Roman" w:cs="Times New Roman" w:eastAsia="Times New Roman" w:hAnsi="Times New Roman"/>
          <w:sz w:val="18"/>
          <w:szCs w:val="18"/>
          <w:color w:val="auto"/>
        </w:rPr>
        <w:t>. Except with respect to amendments made pursuant to Section 12.1, no termination, amendment, or modification of the Plan shall adversely affect in any material way any Award previously granted pursuant to the Plan without the prior written consent of the Participant.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  No Rights to Awards</w:t>
      </w:r>
      <w:r>
        <w:rPr>
          <w:rFonts w:ascii="Times New Roman" w:cs="Times New Roman" w:eastAsia="Times New Roman" w:hAnsi="Times New Roman"/>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  No Shareholders Rights</w:t>
      </w:r>
      <w:r>
        <w:rPr>
          <w:rFonts w:ascii="Times New Roman" w:cs="Times New Roman" w:eastAsia="Times New Roman" w:hAnsi="Times New Roman"/>
          <w:sz w:val="18"/>
          <w:szCs w:val="18"/>
          <w:color w:val="auto"/>
        </w:rPr>
        <w:t>. No Award gives the Participant any of the rights of a Shareholder of the Company unless and until Shares are in fact issued to such person in connection with such Award.</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19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  No Right to Employment or Services</w:t>
      </w:r>
      <w:r>
        <w:rPr>
          <w:rFonts w:ascii="Times New Roman" w:cs="Times New Roman" w:eastAsia="Times New Roman" w:hAnsi="Times New Roman"/>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  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5" w:name="page46"/>
    <w:bookmarkEnd w:id="45"/>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1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  Relationship to other Benefits</w:t>
      </w:r>
      <w:r>
        <w:rPr>
          <w:rFonts w:ascii="Times New Roman" w:cs="Times New Roman" w:eastAsia="Times New Roman" w:hAnsi="Times New Roman"/>
          <w:sz w:val="18"/>
          <w:szCs w:val="18"/>
          <w:color w:val="auto"/>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expenses of administering the Plan shall be borne by the Company and its Subsidiaries.</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u w:val="single" w:color="auto"/>
          <w:color w:val="auto"/>
        </w:rPr>
        <w:t>  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13.10      </w:t>
      </w:r>
      <w:r>
        <w:rPr>
          <w:rFonts w:ascii="Times New Roman" w:cs="Times New Roman" w:eastAsia="Times New Roman" w:hAnsi="Times New Roman"/>
          <w:sz w:val="18"/>
          <w:szCs w:val="18"/>
          <w:u w:val="single" w:color="auto"/>
          <w:color w:val="auto"/>
        </w:rPr>
        <w:t>  Fractional Shares</w:t>
      </w:r>
      <w:r>
        <w:rPr>
          <w:rFonts w:ascii="Times New Roman" w:cs="Times New Roman" w:eastAsia="Times New Roman" w:hAnsi="Times New Roman"/>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13.11      </w:t>
      </w:r>
      <w:r>
        <w:rPr>
          <w:rFonts w:ascii="Times New Roman" w:cs="Times New Roman" w:eastAsia="Times New Roman" w:hAnsi="Times New Roman"/>
          <w:sz w:val="18"/>
          <w:szCs w:val="18"/>
          <w:u w:val="single" w:color="auto"/>
          <w:color w:val="auto"/>
        </w:rPr>
        <w:t>  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13.12      </w:t>
      </w:r>
      <w:r>
        <w:rPr>
          <w:rFonts w:ascii="Times New Roman" w:cs="Times New Roman" w:eastAsia="Times New Roman" w:hAnsi="Times New Roman"/>
          <w:sz w:val="18"/>
          <w:szCs w:val="18"/>
          <w:u w:val="single" w:color="auto"/>
          <w:color w:val="auto"/>
        </w:rPr>
        <w:t>  Government and Other Regulations</w:t>
      </w:r>
      <w:r>
        <w:rPr>
          <w:rFonts w:ascii="Times New Roman" w:cs="Times New Roman" w:eastAsia="Times New Roman" w:hAnsi="Times New Roman"/>
          <w:sz w:val="18"/>
          <w:szCs w:val="18"/>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13.13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The Plan and all Award Agreements shall be construed in accordance with and governed by the laws of the Cayman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13.14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To the extent that the Committee determines that any Award granted under the Plan is or may become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409A of the Code, the Award Agreement evidencing such Award shall incorporate the terms and conditions required by Section 409A of the Code.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applicable, the Plan and the Award Agreements shall be interpreted in accordance with Section 409A of the Code and the U.S. Department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regulations and other interpretative guidance issued thereunder, including without limitation any such regulation or other guidance that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after the Effective Date. Notwithstanding any provision of the Plan to the contrary, in the event that following the Effective Date the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determines that any Award may be subject to Section 409A of the Code and related Department of Treasury guidance (including such Department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guidance as may be issued after the Effective Date), the Committee may adopt such amendments to the Plan and the applicable Award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adopt other policies and procedures (including amendments, policies and procedures with retroactive effect), or take any other actions,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determines are necessary or appropriate to (a) exempt the Award from Section 409A of the Code and/or preserve the intended tax treatment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benefits provided with respect to the Award, or (b) comply with the requirements of Section 409A of the Code and related U.S. Department of Treasury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guidance.</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13.15      </w:t>
      </w:r>
      <w:r>
        <w:rPr>
          <w:rFonts w:ascii="Times New Roman" w:cs="Times New Roman" w:eastAsia="Times New Roman" w:hAnsi="Times New Roman"/>
          <w:sz w:val="18"/>
          <w:szCs w:val="18"/>
          <w:u w:val="single" w:color="auto"/>
          <w:color w:val="auto"/>
        </w:rPr>
        <w:t>  Appendices</w:t>
      </w:r>
      <w:r>
        <w:rPr>
          <w:rFonts w:ascii="Times New Roman" w:cs="Times New Roman" w:eastAsia="Times New Roman" w:hAnsi="Times New Roman"/>
          <w:sz w:val="18"/>
          <w:szCs w:val="18"/>
          <w:color w:val="auto"/>
        </w:rPr>
        <w:t>. The Committee may approve such supplements, amendments or appendices to the Plan as it may consider necessary or appropriate for purposes of compliance with Applicable Laws or otherwise and such supplements, amendments or appendices shall be considered a part of the Plan; provided, however, that no such supplements shall increase the share limitation contained in Section 3.1 of the Plan without the approval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o"/>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4"/>
      <w:numFmt w:val="bullet"/>
      <w:start w:val="1"/>
    </w:lvl>
  </w:abstractNum>
  <w:abstractNum w:abstractNumId="9">
    <w:nsid w:val="7FDCC233"/>
    <w:multiLevelType w:val="hybridMultilevel"/>
    <w:lvl w:ilvl="0">
      <w:lvlJc w:val="left"/>
      <w:lvlText w:val="6"/>
      <w:numFmt w:val="bullet"/>
      <w:start w:val="1"/>
    </w:lvl>
  </w:abstractNum>
  <w:abstractNum w:abstractNumId="10">
    <w:nsid w:val="1BEFD79F"/>
    <w:multiLevelType w:val="hybridMultilevel"/>
    <w:lvl w:ilvl="0">
      <w:lvlJc w:val="left"/>
      <w:lvlText w:val="8"/>
      <w:numFmt w:val="bullet"/>
      <w:start w:val="1"/>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2026-03-11T07:13:50Z</dcterms:created>
  <dcterms:modified xsi:type="dcterms:W3CDTF">2026-03-11T07:13:50Z</dcterms:modified>
</cp:coreProperties>
</file>