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JOYY INC.</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30 Pasir Panjang Road #15-31A Mapletree Business City,</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4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JOYY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Ting 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Reports First Quarter 2026 Unaudited Financial Results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Singapore, May 26, 2026 (GLOBE NEWSWIRE) -- JOYY Inc. (NASDAQ: JOYY) (“JOYY” or the “Company”), a global technology company, today announced its unaudited financial results for the first quarter of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ind w:left="300" w:right="320" w:hanging="292"/>
        <w:spacing w:after="0" w:line="285" w:lineRule="auto"/>
        <w:tabs>
          <w:tab w:leader="none" w:pos="3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were US$555.7 million, an increase of 12.4% from US$494.4 million in the corresponding period of 2025, compared with US$581.9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fourth quarter of 2025.</w:t>
      </w:r>
    </w:p>
    <w:p>
      <w:pPr>
        <w:spacing w:after="0" w:line="155" w:lineRule="exact"/>
        <w:rPr>
          <w:sz w:val="20"/>
          <w:szCs w:val="20"/>
          <w:color w:val="auto"/>
        </w:rPr>
      </w:pPr>
    </w:p>
    <w:p>
      <w:pPr>
        <w:ind w:left="980" w:right="520" w:hanging="323"/>
        <w:spacing w:after="0" w:line="263"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Social Entertainment net revenues</w:t>
      </w:r>
      <w:r>
        <w:rPr>
          <w:rFonts w:ascii="Times New Roman" w:cs="Times New Roman" w:eastAsia="Times New Roman" w:hAnsi="Times New Roman"/>
          <w:sz w:val="18"/>
          <w:szCs w:val="18"/>
          <w:color w:val="auto"/>
        </w:rPr>
        <w:t xml:space="preserve"> increased by 3.2% to US$400.4 million from US$387.8 million in the corresponding period of 2025, compared with US$419.1 million in the fourth quarter of 2025.</w:t>
      </w:r>
    </w:p>
    <w:p>
      <w:pPr>
        <w:spacing w:after="0" w:line="1" w:lineRule="exact"/>
        <w:rPr>
          <w:sz w:val="20"/>
          <w:szCs w:val="20"/>
          <w:color w:val="auto"/>
        </w:rPr>
      </w:pPr>
    </w:p>
    <w:p>
      <w:pPr>
        <w:ind w:left="980" w:right="220" w:hanging="323"/>
        <w:spacing w:after="0" w:line="250"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BIGO Ads net revenues</w:t>
      </w:r>
      <w:r>
        <w:rPr>
          <w:rFonts w:ascii="Times New Roman" w:cs="Times New Roman" w:eastAsia="Times New Roman" w:hAnsi="Times New Roman"/>
          <w:sz w:val="18"/>
          <w:szCs w:val="18"/>
          <w:color w:val="auto"/>
        </w:rPr>
        <w:t xml:space="preserve"> increased by 55.6% to US$124.8 million from US$80.2 million in the corresponding period of 2025, compared with US$128.6 million in the fourth quarter of 2025.</w:t>
      </w:r>
    </w:p>
    <w:p>
      <w:pPr>
        <w:spacing w:after="0" w:line="1" w:lineRule="exact"/>
        <w:rPr>
          <w:sz w:val="20"/>
          <w:szCs w:val="20"/>
          <w:color w:val="auto"/>
        </w:rPr>
      </w:pPr>
    </w:p>
    <w:p>
      <w:pPr>
        <w:ind w:left="980" w:right="460" w:hanging="323"/>
        <w:spacing w:after="0" w:line="260"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Shopline net revenues</w:t>
      </w:r>
      <w:r>
        <w:rPr>
          <w:rFonts w:ascii="Times New Roman" w:cs="Times New Roman" w:eastAsia="Times New Roman" w:hAnsi="Times New Roman"/>
          <w:sz w:val="18"/>
          <w:szCs w:val="18"/>
          <w:color w:val="auto"/>
        </w:rPr>
        <w:t xml:space="preserve"> increased by 16.1% to US$30.5 million from US$26.3 million in the corresponding period of 2025, compared with US$34.3 million in the fourth quarter of 2025.</w:t>
      </w:r>
    </w:p>
    <w:p>
      <w:pPr>
        <w:spacing w:after="0" w:line="177" w:lineRule="exact"/>
        <w:rPr>
          <w:sz w:val="20"/>
          <w:szCs w:val="20"/>
          <w:color w:val="auto"/>
        </w:rPr>
      </w:pPr>
    </w:p>
    <w:p>
      <w:pPr>
        <w:ind w:left="300" w:right="560" w:hanging="292"/>
        <w:spacing w:after="0" w:line="285" w:lineRule="auto"/>
        <w:tabs>
          <w:tab w:leader="none" w:pos="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US$6.8 million, compared with US$12.2 million in the corresponding period of 2025 and US$18.3 million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w:t>
      </w:r>
    </w:p>
    <w:p>
      <w:pPr>
        <w:spacing w:after="0" w:line="159" w:lineRule="exact"/>
        <w:rPr>
          <w:rFonts w:ascii="Arial" w:cs="Arial" w:eastAsia="Arial" w:hAnsi="Arial"/>
          <w:sz w:val="18"/>
          <w:szCs w:val="18"/>
          <w:b w:val="1"/>
          <w:bCs w:val="1"/>
          <w:color w:val="auto"/>
        </w:rPr>
      </w:pPr>
    </w:p>
    <w:p>
      <w:pPr>
        <w:ind w:left="300" w:right="140" w:hanging="292"/>
        <w:spacing w:after="0" w:line="218" w:lineRule="auto"/>
        <w:tabs>
          <w:tab w:leader="none" w:pos="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Non-GAAP EBITDA</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US$45.7 million, compared with US$40.4 million in the corresponding period of 2025 and US$50.6 million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w:t>
      </w:r>
    </w:p>
    <w:p>
      <w:pPr>
        <w:spacing w:after="0" w:line="197" w:lineRule="exact"/>
        <w:rPr>
          <w:rFonts w:ascii="Arial" w:cs="Arial" w:eastAsia="Arial" w:hAnsi="Arial"/>
          <w:sz w:val="18"/>
          <w:szCs w:val="18"/>
          <w:b w:val="1"/>
          <w:bCs w:val="1"/>
          <w:color w:val="auto"/>
        </w:rPr>
      </w:pPr>
    </w:p>
    <w:p>
      <w:pPr>
        <w:ind w:left="300" w:right="40" w:hanging="292"/>
        <w:spacing w:after="0" w:line="218" w:lineRule="auto"/>
        <w:tabs>
          <w:tab w:leader="none" w:pos="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Net income from continuing operations attributable to controlling interest of JOYY</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US$50.7 million, compared with US$45.4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of 2025 and US$54.3 million in the fourth quarter of 2025.</w:t>
      </w:r>
    </w:p>
    <w:p>
      <w:pPr>
        <w:spacing w:after="0" w:line="197" w:lineRule="exact"/>
        <w:rPr>
          <w:rFonts w:ascii="Arial" w:cs="Arial" w:eastAsia="Arial" w:hAnsi="Arial"/>
          <w:sz w:val="18"/>
          <w:szCs w:val="18"/>
          <w:b w:val="1"/>
          <w:bCs w:val="1"/>
          <w:color w:val="auto"/>
        </w:rPr>
      </w:pPr>
    </w:p>
    <w:p>
      <w:pPr>
        <w:ind w:left="300" w:right="500" w:hanging="292"/>
        <w:spacing w:after="0" w:line="218" w:lineRule="auto"/>
        <w:tabs>
          <w:tab w:leader="none" w:pos="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Non-GAAP net income from continuing operations attributable to controlling interest and common shareholders of JOYY</w:t>
      </w:r>
      <w:r>
        <w:rPr>
          <w:rFonts w:ascii="Times New Roman" w:cs="Times New Roman" w:eastAsia="Times New Roman" w:hAnsi="Times New Roman"/>
          <w:sz w:val="29"/>
          <w:szCs w:val="29"/>
          <w:b w:val="1"/>
          <w:bCs w:val="1"/>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US$55.9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compared with US$63.2 million in the corresponding period of 2025 and US$70.3 million in the fourth quarter of 2025.</w:t>
      </w:r>
    </w:p>
    <w:p>
      <w:pPr>
        <w:spacing w:after="0" w:line="197" w:lineRule="exact"/>
        <w:rPr>
          <w:rFonts w:ascii="Arial" w:cs="Arial" w:eastAsia="Arial" w:hAnsi="Arial"/>
          <w:sz w:val="18"/>
          <w:szCs w:val="18"/>
          <w:b w:val="1"/>
          <w:bCs w:val="1"/>
          <w:color w:val="auto"/>
        </w:rPr>
      </w:pPr>
    </w:p>
    <w:p>
      <w:pPr>
        <w:ind w:left="300" w:hanging="292"/>
        <w:spacing w:after="0"/>
        <w:tabs>
          <w:tab w:leader="none" w:pos="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Net Cash</w:t>
      </w:r>
      <w:r>
        <w:rPr>
          <w:rFonts w:ascii="Times New Roman" w:cs="Times New Roman" w:eastAsia="Times New Roman" w:hAnsi="Times New Roman"/>
          <w:sz w:val="29"/>
          <w:szCs w:val="29"/>
          <w:b w:val="1"/>
          <w:bCs w:val="1"/>
          <w:color w:val="auto"/>
          <w:vertAlign w:val="superscript"/>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March 31, 2026 was US$3,175.1 million.</w:t>
      </w:r>
    </w:p>
    <w:p>
      <w:pPr>
        <w:spacing w:after="0" w:line="135" w:lineRule="exact"/>
        <w:rPr>
          <w:rFonts w:ascii="Arial" w:cs="Arial" w:eastAsia="Arial" w:hAnsi="Arial"/>
          <w:sz w:val="18"/>
          <w:szCs w:val="18"/>
          <w:b w:val="1"/>
          <w:bCs w:val="1"/>
          <w:color w:val="auto"/>
        </w:rPr>
      </w:pPr>
    </w:p>
    <w:p>
      <w:pPr>
        <w:ind w:left="300" w:hanging="292"/>
        <w:spacing w:after="0"/>
        <w:tabs>
          <w:tab w:leader="none" w:pos="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Cash from operating activities </w:t>
      </w:r>
      <w:r>
        <w:rPr>
          <w:rFonts w:ascii="Times New Roman" w:cs="Times New Roman" w:eastAsia="Times New Roman" w:hAnsi="Times New Roman"/>
          <w:sz w:val="18"/>
          <w:szCs w:val="18"/>
          <w:color w:val="auto"/>
        </w:rPr>
        <w:t>was US$46.0 million, compared with US$58.0 million in the corresponding period of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Business Highlights</w:t>
      </w:r>
    </w:p>
    <w:p>
      <w:pPr>
        <w:spacing w:after="0" w:line="23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Global community</w:t>
      </w:r>
      <w:r>
        <w:rPr>
          <w:rFonts w:ascii="MS PGothic" w:cs="MS PGothic" w:eastAsia="MS PGothic" w:hAnsi="MS PGothic"/>
          <w:sz w:val="18"/>
          <w:szCs w:val="18"/>
          <w:color w:val="auto"/>
        </w:rPr>
        <w:t>：</w:t>
      </w:r>
    </w:p>
    <w:p>
      <w:pPr>
        <w:spacing w:after="0" w:line="242" w:lineRule="exact"/>
        <w:rPr>
          <w:sz w:val="20"/>
          <w:szCs w:val="20"/>
          <w:color w:val="auto"/>
        </w:rPr>
      </w:pPr>
    </w:p>
    <w:p>
      <w:pPr>
        <w:ind w:left="300" w:right="80" w:hanging="292"/>
        <w:spacing w:after="0" w:line="227" w:lineRule="auto"/>
        <w:tabs>
          <w:tab w:leader="none" w:pos="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Global average mobile MAUs</w:t>
      </w:r>
      <w:r>
        <w:rPr>
          <w:rFonts w:ascii="Times New Roman" w:cs="Times New Roman" w:eastAsia="Times New Roman" w:hAnsi="Times New Roman"/>
          <w:sz w:val="29"/>
          <w:szCs w:val="29"/>
          <w:b w:val="1"/>
          <w:bCs w:val="1"/>
          <w:color w:val="auto"/>
          <w:vertAlign w:val="superscript"/>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reached 276.3 million in the first quarter of 2026, up by 6.1% from 260.4 million in the corresponding period of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up by 1.5% from 272.1 million in the fourth quarter of 2025. The Company continued to optimize its marketing strategies to focus on return on investment (ROI) and high-value users.</w:t>
      </w:r>
    </w:p>
    <w:p>
      <w:pPr>
        <w:spacing w:after="0" w:line="20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Social Entertainment </w:t>
      </w:r>
      <w:r>
        <w:rPr>
          <w:rFonts w:ascii="MS PGothic" w:cs="MS PGothic" w:eastAsia="MS PGothic" w:hAnsi="MS PGothic"/>
          <w:sz w:val="18"/>
          <w:szCs w:val="18"/>
          <w:color w:val="auto"/>
        </w:rPr>
        <w:t>：</w:t>
      </w:r>
    </w:p>
    <w:p>
      <w:pPr>
        <w:spacing w:after="0" w:line="243"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first quarter, Social Entertainment revenues increased by 3.2% year over year to US$400.4 million, with live streaming revenues reaching</w:t>
      </w:r>
    </w:p>
    <w:p>
      <w:pPr>
        <w:spacing w:after="0" w:line="26" w:lineRule="exact"/>
        <w:rPr>
          <w:rFonts w:ascii="Arial" w:cs="Arial" w:eastAsia="Arial" w:hAnsi="Arial"/>
          <w:sz w:val="18"/>
          <w:szCs w:val="18"/>
          <w:b w:val="1"/>
          <w:bCs w:val="1"/>
          <w:color w:val="auto"/>
        </w:rPr>
      </w:pPr>
    </w:p>
    <w:p>
      <w:pPr>
        <w:ind w:left="300" w:right="20"/>
        <w:spacing w:after="0" w:line="250"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US$380.3 million, returning to year over year growth with a 2.4% increase from the corresponding period of 2025, representing an important inflection point in the recovery of the Company’s core business. By region, live streaming revenues in developed markets grew 11.2% year over year, reflecting strong performance in key geographies.</w:t>
      </w:r>
    </w:p>
    <w:p>
      <w:pPr>
        <w:spacing w:after="0" w:line="1" w:lineRule="exact"/>
        <w:rPr>
          <w:rFonts w:ascii="Arial" w:cs="Arial" w:eastAsia="Arial" w:hAnsi="Arial"/>
          <w:sz w:val="18"/>
          <w:szCs w:val="18"/>
          <w:b w:val="1"/>
          <w:bCs w:val="1"/>
          <w:color w:val="auto"/>
        </w:rPr>
      </w:pPr>
    </w:p>
    <w:p>
      <w:pPr>
        <w:ind w:left="300" w:hanging="292"/>
        <w:spacing w:after="0" w:line="185" w:lineRule="auto"/>
        <w:tabs>
          <w:tab w:leader="none" w:pos="3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Core live streaming paying users </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rose by 5.9% year over year to 1.54 million, while ARPPU</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reached US$214.1.</w:t>
      </w:r>
    </w:p>
    <w:p>
      <w:pPr>
        <w:spacing w:after="0" w:line="1" w:lineRule="exact"/>
        <w:rPr>
          <w:rFonts w:ascii="Arial" w:cs="Arial" w:eastAsia="Arial" w:hAnsi="Arial"/>
          <w:sz w:val="18"/>
          <w:szCs w:val="18"/>
          <w:b w:val="1"/>
          <w:bCs w:val="1"/>
          <w:color w:val="auto"/>
        </w:rPr>
      </w:pPr>
    </w:p>
    <w:p>
      <w:pPr>
        <w:ind w:left="300" w:right="40" w:hanging="292"/>
        <w:spacing w:after="0" w:line="251" w:lineRule="auto"/>
        <w:tabs>
          <w:tab w:leader="none" w:pos="3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continued to enhance its content ecosystem through streamer incentive reforms and targeted support programs for high-quality content categories, while deepening AI-powered capabilities across content distribution and payment experiences. These initiatives drove steady improvements in user engagement and monetization. During the first quarter, the number of active streamers increased by 1.5% quarter over quarter, and average effective streaming hours per streamer rose by 1.4% quarter over quarter. AI-powered tools were fully deployed across core regions. User adoption of AI-generated virtual gifts continued to accelerate, with AI-generated interactive virtual gifts accounting for 34% of total virtual gift consumption on Bigo Live in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Recent Development on B2B Initiatives: Advertising and Smart Commerce</w:t>
      </w:r>
    </w:p>
    <w:p>
      <w:pPr>
        <w:spacing w:after="0" w:line="229" w:lineRule="exact"/>
        <w:rPr>
          <w:sz w:val="20"/>
          <w:szCs w:val="20"/>
          <w:color w:val="auto"/>
        </w:rPr>
      </w:pPr>
    </w:p>
    <w:p>
      <w:pPr>
        <w:ind w:left="300" w:right="120" w:hanging="292"/>
        <w:spacing w:after="0" w:line="260" w:lineRule="auto"/>
        <w:tabs>
          <w:tab w:leader="none" w:pos="30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Beginning in 2022, the Company ramped up efforts to diversify its revenue stream, cultivating its new initiatives in advertising technology and smart commerce. The Company has made steady progress advancing towards its strategic positioning as a global tech company powered by multiple growth engines. In the first quarter, total non-live streaming revenues reached US$175.4 million, up by 42.6% year over year, representing 31.6% of total net revenues of the Company, compared with 24.9% in the corresponding period of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BIGO Ads:</w:t>
      </w:r>
    </w:p>
    <w:p>
      <w:pPr>
        <w:spacing w:after="0" w:line="229" w:lineRule="exact"/>
        <w:rPr>
          <w:sz w:val="20"/>
          <w:szCs w:val="20"/>
          <w:color w:val="auto"/>
        </w:rPr>
      </w:pPr>
    </w:p>
    <w:p>
      <w:pPr>
        <w:ind w:left="300" w:hanging="292"/>
        <w:spacing w:after="0" w:line="257" w:lineRule="auto"/>
        <w:tabs>
          <w:tab w:leader="none" w:pos="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BIGO Ads is a global AI-powered programmatic advertising platform. Launched to provide one-stop marketing and monetization solutions, it leverages deep learning, real-time bidding, and smart bidding models (such as oCPC and ROAS optimization) to enable brands to scale user acquisition and app developers to effectively unlock monetization potentials through connecting premium global demand.</w:t>
      </w:r>
    </w:p>
    <w:p>
      <w:pPr>
        <w:ind w:left="300" w:right="120" w:hanging="292"/>
        <w:spacing w:after="0" w:line="250" w:lineRule="auto"/>
        <w:tabs>
          <w:tab w:leader="none" w:pos="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first quarter, BIGO Ads' total revenues grew by 55.6% year over year to US$124.8 million. In particular, BIGO Audience Network, which includes third-party advertising revenues generated on network partners' traffic properties, continued to demonstrate strong momentum, with revenues increasing by 78.8% year over year.</w:t>
      </w:r>
    </w:p>
    <w:p>
      <w:pPr>
        <w:ind w:left="300" w:right="140" w:hanging="292"/>
        <w:spacing w:after="0" w:line="250" w:lineRule="auto"/>
        <w:tabs>
          <w:tab w:leader="none" w:pos="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BIGO Ads has access to a vast traffic pool, comprising the Company’s own global average mobile MAU base and an extensive network of third-party traffic through seamless integration of developer traffic across major channels. During the quarter, Software Development Kit (SDK) advertising requests grew by 109% year over year and 7% quarter over quarter.</w:t>
      </w:r>
    </w:p>
    <w:p>
      <w:pPr>
        <w:ind w:left="300" w:right="280" w:hanging="292"/>
        <w:spacing w:after="0" w:line="250" w:lineRule="auto"/>
        <w:tabs>
          <w:tab w:leader="none" w:pos="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BIGO Ads continued to enhance its deep learning and real-time bidding models. By promoting full-funnel data feedback from advertisers and capitalizing on the dual growth in traffic scale and advertiser density, BIGO Ads built a richer multi-dimensional user profile database. This enabled more precise real-time user understanding, improved ad distribution efficiency, and further strengthened its traffic bidding capabilities through continuous data accumulation and algorithm iteration.</w:t>
      </w:r>
    </w:p>
    <w:p>
      <w:pPr>
        <w:ind w:left="300" w:right="120" w:hanging="292"/>
        <w:spacing w:after="0" w:line="253" w:lineRule="auto"/>
        <w:tabs>
          <w:tab w:leader="none" w:pos="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Broader traffic coverage, multi-vertical advertiser expansion, and ongoing algorithm optimization fueled accelerated growth. Web-based demand increased 90% year over year. In-app advertising (IAA) spending maintained robust growth of 97% year over year. Regionally, developed markets demonstrated strong momentum, with North America remaining the largest market and Western Europe delivering outstanding growth of 27% quarter over quarter.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Shopline:</w:t>
      </w:r>
    </w:p>
    <w:p>
      <w:pPr>
        <w:spacing w:after="0" w:line="229" w:lineRule="exact"/>
        <w:rPr>
          <w:sz w:val="20"/>
          <w:szCs w:val="20"/>
          <w:color w:val="auto"/>
        </w:rPr>
      </w:pPr>
    </w:p>
    <w:p>
      <w:pPr>
        <w:ind w:left="300" w:right="200" w:hanging="292"/>
        <w:spacing w:after="0" w:line="255" w:lineRule="auto"/>
        <w:tabs>
          <w:tab w:leader="none" w:pos="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Shopline serves as a global AI-powered operating system for modern retail. Beyond storefront creation, Shopline offers a deeply integrated suite of merchant services across payments, logistics, marketing, and data analytics. It is an open, extensible omnichannel platform that enables merchants to manage the full commerce value chain from store setup and transactions to fulfillment, customer acquisition, and lifecycle engagement. Shopline has helped merchants in diverse industries across multiple markets to launch and scale their businesses.</w:t>
      </w:r>
    </w:p>
    <w:p>
      <w:pPr>
        <w:spacing w:after="0" w:line="1" w:lineRule="exact"/>
        <w:rPr>
          <w:rFonts w:ascii="Arial" w:cs="Arial" w:eastAsia="Arial" w:hAnsi="Arial"/>
          <w:sz w:val="18"/>
          <w:szCs w:val="18"/>
          <w:b w:val="1"/>
          <w:bCs w:val="1"/>
          <w:color w:val="auto"/>
        </w:rPr>
      </w:pPr>
    </w:p>
    <w:p>
      <w:pPr>
        <w:ind w:left="300" w:right="540" w:hanging="292"/>
        <w:spacing w:after="0" w:line="249" w:lineRule="auto"/>
        <w:tabs>
          <w:tab w:leader="none" w:pos="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Shopline currently generates revenues from recurring software subscription fees and a suite of transaction-based value-added services, including localized payment processing (Shopline Payments) and marketing solutions.</w:t>
      </w:r>
    </w:p>
    <w:p>
      <w:pPr>
        <w:spacing w:after="0" w:line="1" w:lineRule="exact"/>
        <w:rPr>
          <w:rFonts w:ascii="Arial" w:cs="Arial" w:eastAsia="Arial" w:hAnsi="Arial"/>
          <w:sz w:val="18"/>
          <w:szCs w:val="18"/>
          <w:b w:val="1"/>
          <w:bCs w:val="1"/>
          <w:color w:val="auto"/>
        </w:rPr>
      </w:pPr>
    </w:p>
    <w:p>
      <w:pPr>
        <w:ind w:left="300" w:right="280" w:hanging="292"/>
        <w:spacing w:after="0" w:line="259" w:lineRule="auto"/>
        <w:tabs>
          <w:tab w:leader="none" w:pos="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first quarter, Shopline continued its healthy growth trajectory, generating revenue of US$30.5 million, up 16.1% year over year. Gross margin improved to 51.5%.</w:t>
      </w:r>
    </w:p>
    <w:p>
      <w:pPr>
        <w:spacing w:after="0" w:line="1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Ms. Ting Li, Chairperson and Chief Executive Officer of JOYY, commented, "We are pleased to report a strong start to 2026. Total revenues for the first quarter reached US$555.7 million, up by 12.4% year over year, our strongest year over year growth rate in recent years. Our social entertainment business returned to year over year growth, while our second growth curve, Ad Tech and Smart Commerce, continued to progress with strong momentum. In light of our solid operational performance and robust balance sheet, we announced an updated shareholder return program, under which we could repurchase up to US$600 million worth of our shares and distribute approximately US$900 million in dividends over the next three years. This underscores our strong confidence in long-term potential of our business and demonstrates our continued commitment to delivering sustainable value to our shareholders.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Social entertainment revenues increased 3.2% year over year, with core live streaming revenues returning to 2.4% year over year growth, which marks an inflection point and a result of the strategic adjustments we’ve executed over the past several quarters. Meanwhile, BIGO Ads revenues surged 55.6% year over year to US$124.8 million, with BIGO Audience Network revenues growing 78.8% year over year. Shopline also continued its healthy growth trajectory, generating revenue of US$30.5 million, up 16.1% year over year.</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quarter marks the first time we are reporting results under our new three-segment structure: Social Entertainment, BIGO Ads, and Shopline. Our globally diversified ecosystem is taking shape, with social entertainment, advertising, and smart commerce reinforcing one another in a powerful strategic flywheel.</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With AI serving as the backbone of our entire ecosystem — driving content recommendation, advertising efficiency, and merchant intelligence across all three segments — our business pillars form a closed-loop system that deepens our competitive moat. We are confident this will drive long-term value creation for JOYY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revenues were US$555.7 million, representing an increase of 12.4% from US$494.4 million in the corresponding period of 2025, compared with US$581.9 million in the fourth quarter of 2025.</w:t>
      </w:r>
    </w:p>
    <w:p>
      <w:pPr>
        <w:spacing w:after="0" w:line="162"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Social Entertainment net revenues were US$400.4 million, up by 3.2% from US$387.8 million in the corresponding period of 2025, compared with US$419.1 million in the fourth quarter of 2025. The year over year increase was primarily driven by growth in live streaming revenues, as expanded content categories and enhanced localized operations contributed to stronger user engagement and spending across key markets.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BIGO Ads net revenues were US$124.8 million, up by 55.6% from US$80.2 million in the corresponding period of 2025, compared with US$128.6 million in the fourth quarter of 2025. The year over year increase was driven by expansion of traffic, elevated advertiser demand across regions and verticals, and enhanced algorithm performance that resulted in improved advertisement delivery efficiency and higher advertiser spending.</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Shopline net revenues were US$30.5 million, representing an increase of 16.1% from US$26.3 million in the corresponding period of 2025, compared with US$34.3 million in the fourth quarter of 2025. The year over year growth was mainly due to continued merchant adoption and deeper penetration of value-added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Cost of revenues was US$366.4 million in the first quarter of 2026, compared with US$315.7 million in the corresponding period of 2025 and US$376.3 million in the fourth quarter of 2025.</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Social Entertainment’s cost of revenues increased by 3.4% year over year to US$256.0 million and decreased by 1.6% from US$260.2 million in the fourth quarter of 2025. The year over year increase was primarily attributable to a US$15.5 million increase in revenue-sharing fees and content costs.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BIGO Ads’s cost of revenues increased by 78.1% year over year to US$95.6 million and decreased 2.6% from US$98.1 million in the fourth quarter of 2025. The year over year increase was primarily resulting from higher traffic acquisition costs paid to third-party partners in relation to the expansion of BIGO Audience Network.</w:t>
      </w:r>
    </w:p>
    <w:p>
      <w:pPr>
        <w:spacing w:after="0" w:line="176"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Shopline’s cost of revenues increased by 1.8% year over year to US$14.8 million, and decreased by 17.4% from the fourth quarter of 2025. The quarter over quarter decrease was primarily due to the seasonal decline in revenue from the fourth quarter, as well as continued improvements in cost efficiency.</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US$189.3 million in the first quarter of 2026, compared with US$178.6 million in the corresponding period of 2025 and US$205.6 million in the fourth quarter of 2025. Gross margin was 34.1% in the first quarter of 2026, compared with 36.1% in the corresponding period of 2025 and 35.3% in the fourth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INCOME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Operating expenses were US$183.4 million in the first quarter of 2026, compared with US$167.2 million in the same period of 2025 and US$187.8 million in the fourth quarter of 2025. Among the operating expenses, sales and marketing expenses were US$79.6 million, compared with US$72.1 million in the corresponding period of 2025 and US$81.4 million in the fourth quarter of 2025. Research and development expenses were US$61.2 million, compared with US$62.4 million in the corresponding period of 2025 and US$61.5 million in the fourth quarter of 2025. General and administrative expenses were US$42.6 million, compared with US$32.7 million in the corresponding period of 2025 and US$44.9 million in the fourth quarter of 2025.</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Operating income was US$6.8 million, compared with US$12.2 million in the corresponding period of 2025 and US$18.3 million in the fourth quarter of 2025.</w:t>
      </w:r>
    </w:p>
    <w:p>
      <w:pPr>
        <w:spacing w:after="0" w:line="165"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Non-GAAP operating income</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was US$38.0 million in the first quarter of 2026, compared with US$31.0 million in the corresponding period of 2025 and US$40.8 million in the fourth quarter of 2025. Non-GAAP operating income margin</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was 6.8% in the first quarter of 2026, compared with 6.3% in the corresponding period of 2025 and 7.0% in the fourth quarter of 2025.</w:t>
      </w:r>
    </w:p>
    <w:p>
      <w:pPr>
        <w:spacing w:after="0" w:line="19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Non-GAAP EBITDA was US$45.7 million, compared with US$40.4 million in the corresponding period of 2025 and US$50.6 million in the fourth quarter of 2025. Non-GAAP EBITDA margin</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was 8.2%, compared with 8.2% in the corresponding period of 2025 and 8.7% in the fourth quarter of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from continuing operations attributable to controlling interest of JOYY was US$50.7 million, compared with US$45.4 million in the corresponding period of 2025 and US$54.3 million in the fourth quarter of 2025. Net income margin was 9.1% in the first quarter of 2026, compared with 9.2% in the corresponding period of 2025 and 9.3% in the fourth quarter of 2025.</w:t>
      </w:r>
    </w:p>
    <w:p>
      <w:pPr>
        <w:spacing w:after="0" w:line="176" w:lineRule="exact"/>
        <w:rPr>
          <w:sz w:val="20"/>
          <w:szCs w:val="20"/>
          <w:color w:val="auto"/>
        </w:rPr>
      </w:pPr>
    </w:p>
    <w:p>
      <w:pPr>
        <w:jc w:val="both"/>
        <w:ind w:right="60"/>
        <w:spacing w:after="0" w:line="232" w:lineRule="auto"/>
        <w:rPr>
          <w:sz w:val="20"/>
          <w:szCs w:val="20"/>
          <w:color w:val="auto"/>
        </w:rPr>
      </w:pPr>
      <w:r>
        <w:rPr>
          <w:rFonts w:ascii="Times New Roman" w:cs="Times New Roman" w:eastAsia="Times New Roman" w:hAnsi="Times New Roman"/>
          <w:sz w:val="18"/>
          <w:szCs w:val="18"/>
          <w:color w:val="auto"/>
        </w:rPr>
        <w:t>Non-GAAP net income from continuing operations attributable to controlling interest and common shareholders of JOYY was US$55.9 million, compared with US$63.2 million in the corresponding period of 2025 and US$70.3 million in the fourth quarter of 2025. Non-GAAP net income margin</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was 10.1% in the first quarter of 2026, compared with non-GAAP net income margin of 12.8% in the corresponding period of 2025 and 12.1% in 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933"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ADS</w:t>
      </w:r>
    </w:p>
    <w:p>
      <w:pPr>
        <w:spacing w:after="0" w:line="23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Diluted net income from continuing operations per ADS</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was US$1.00 in the first quarter of 2026, compared with US$0.84 in the corresponding period of 2025 and US$1.03 in the fourth quarter of 2025.</w:t>
      </w:r>
    </w:p>
    <w:p>
      <w:pPr>
        <w:spacing w:after="0" w:line="202" w:lineRule="exact"/>
        <w:rPr>
          <w:sz w:val="20"/>
          <w:szCs w:val="20"/>
          <w:color w:val="auto"/>
        </w:rPr>
      </w:pPr>
    </w:p>
    <w:p>
      <w:pPr>
        <w:ind w:right="920"/>
        <w:spacing w:after="0" w:line="216" w:lineRule="auto"/>
        <w:rPr>
          <w:sz w:val="20"/>
          <w:szCs w:val="20"/>
          <w:color w:val="auto"/>
        </w:rPr>
      </w:pPr>
      <w:r>
        <w:rPr>
          <w:rFonts w:ascii="Times New Roman" w:cs="Times New Roman" w:eastAsia="Times New Roman" w:hAnsi="Times New Roman"/>
          <w:sz w:val="18"/>
          <w:szCs w:val="18"/>
          <w:color w:val="auto"/>
        </w:rPr>
        <w:t>Non-GAAP diluted net income from continuing operations per ADS</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was US$1.11 in the first quarter of 2026, compared with US$1.18 in the corresponding period of 2025 and US$1.34 in the fourth quarter of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AND CASH FLOWS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net cash of US$3,175.1 million, compared with US$3,258.0 million as of December 31, 2025. For the first quarter of 2026, net cash from operating activities was US$46.0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 total of 1,007.6 million common shares outstanding, representing the equivalent of 50.4 million ADSs assuming the conversion of all common shares into ADSs.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second quarter of 2026, the Company expects net revenues to be between US$562 million and US$581 million. This forecast reflects the Company’s current and preliminary views on the market, operational conditions and business strategies, which are subject to changes, particularly as to the potential impact from macroeconomic uncertainties.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May 22, 2026, the board of directors of the Company authorized a new share repurchase program, or the 2026 Repurchase Program, under which the Company is authorized to repurchase up to US$600 million of its shares (including in the form of ADSs) until the end of 2028. The 2026 Repurchase Program is effective immediately upon approval and replaces a pre-existing share repurchase program, or the 2025 Repurchase Program, under which the Company was authorized to repurchase up to US$300 million of its shares (including in the form of ADSs) until the end of 2027.</w:t>
      </w:r>
    </w:p>
    <w:p>
      <w:pPr>
        <w:spacing w:after="0" w:line="18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Pursuant to the 2025 Repurchase Program, the Company had repurchased approximately 0.8 million ADSs for an aggregate consideration of US$52.9 million on the open market during the first quarter of 2026. Between March 31, 2026 and May 22, 2026, the Company repurchased an additional approximately 0.6 million ADSs, for an aggregate consideration of US$35.0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announcement, the remaining unutilized amount under the 2026 Repurchase Program was approximately US$600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Quarterly Dividend Program and Additional Cash Dividend</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22, 2026, the board of directors of the Company authorized a new quarterly dividend program, or the 2026 Dividend Program, under which a total of approximately US$900 million in cash will be distributed on a quarterly basis between 2026 and 2028. The 2026 Dividend Program is effective immediately upon approval and replaces a pre-existing quarterly dividend program, or the 2025 Dividend Program, under which a total of approximately US$600 million in cash would be distributed on a quarterly basis between 2025 and 2027.</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2026 Dividend Program, the board of directors has accordingly declared a dividend of US$1.50 per ADS, or US$0.075 per common share, for the first quarter of 2026, which is expected to be paid on July 14, 2026 to shareholders of record as of the close of business on June 29, 2026. The ex-dividend date will be June 29,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at 9:00 PM U.S. Eastern Time Monday, May 25, 2026 (9:00 AM Singapore/Hong Kong Time on Tuesday, May 26, 2026) Details for the conference call are as follows:</w:t>
      </w:r>
    </w:p>
    <w:p>
      <w:pPr>
        <w:spacing w:after="0" w:line="16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Event Title:</w:t>
      </w:r>
      <w:r>
        <w:rPr>
          <w:sz w:val="20"/>
          <w:szCs w:val="20"/>
          <w:color w:val="auto"/>
        </w:rPr>
        <w:tab/>
      </w:r>
      <w:r>
        <w:rPr>
          <w:rFonts w:ascii="Times New Roman" w:cs="Times New Roman" w:eastAsia="Times New Roman" w:hAnsi="Times New Roman"/>
          <w:sz w:val="18"/>
          <w:szCs w:val="18"/>
          <w:color w:val="auto"/>
        </w:rPr>
        <w:t>JOYY Inc. First Quarter 2026 Earnings Conference Call</w:t>
      </w:r>
    </w:p>
    <w:p>
      <w:pPr>
        <w:spacing w:after="0" w:line="9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Conference ID:</w:t>
      </w:r>
      <w:r>
        <w:rPr>
          <w:sz w:val="20"/>
          <w:szCs w:val="20"/>
          <w:color w:val="auto"/>
        </w:rPr>
        <w:tab/>
      </w:r>
      <w:r>
        <w:rPr>
          <w:rFonts w:ascii="Times New Roman" w:cs="Times New Roman" w:eastAsia="Times New Roman" w:hAnsi="Times New Roman"/>
          <w:sz w:val="17"/>
          <w:szCs w:val="17"/>
          <w:color w:val="auto"/>
        </w:rPr>
        <w:t>#10054918</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All participants may use the link provided below to complete the online registration process in advance of the conference call. Upon registration, each participant will receive a set of participant dial-in numbers, the Direct Event passcode, and a unique PIN by email.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PRE-REGISTER LINK: https://s1.c-conf.com/diamondpass/10054918-5w84it.html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https://ir.joyy.com.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June 2, 2026,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1-855-883-1031</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800-101-3223</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800-930-639</w:t>
            </w: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#10054918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JOYY Inc.</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JOYY (NASDAQ: JOYY) is a leading global technology company, dedicated to building a self-reinforcing ecosystem that integrates social entertainment, programmatic advertising, and omnichannel e-commerce infrastructure, powered by AI and data intelligence. Headquartered in Singapore and operating across the globe, JOYY empowers creators, merchants and enterprises worldwide. JOYY’s ADSs have been listed on the NASDAQ since November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press release, as well as JOYY’s strategic and operational plans, contain forward-looking statements. JOYY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third parties. Statements that are not historical facts, including statements about JOYY’s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JOYY’s goals and strategies; JOYY’s future business development, results of operations and financial condition; the expected growth of the global online social entertainment, advertising and smart commerce market; JOYY’s ability to attract and retain users and customers; JOYY’s expectations regarding demand for and market acceptances of its products and services; JOYY’s ability to adopt the latest technology to enhance its operations; fluctuations in global economic and business conditions; and assumptions underlying or related to any of the foregoing. A more detailed and full discussion of those risks and other potential risks is included in JOYY’s filings with the SEC. All information provided in this press release and in the attachments is as of the date of this press release, and JOYY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unaudited condensed consolidated financial information is prepared in conformity with accounting principles generally accepted in the United States of America (“U.S. GAAP”). JOYY uses non-GAAP operating (loss) income, non-GAAP operating income (loss) margin, non-GAAP EBITDA, non-GAAP EBITDA margin, non-GAAP net income (loss) from continuing operations attributable to controlling interest and common shareholders of JOYY, non-GAAP net income (loss) margin attributable to controlling interest and common shareholders of JOYY, and basic and diluted non-GAAP net income (loss) from continuing operations per ADS, all of which are non-GAAP financial measures adjusted from the most comparable U.S. GAAP results. Non-GAAP operating income (loss) is operating income (loss) excluding share-based compensation expenses, impairment of goodwill and investments, amortization of intangible assets from business acquisitions, and gain (loss) on deconsolidation and disposal of subsidiaries and business. Non-GAAP operating income (loss) margin is non-GAAP operating income as a percentage of net revenues. Non-GAAP net income (loss) from continuing operations is net income (loss) from continuing operations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(referring to share of income (loss) from equity method investments resulting from non-recurring or non-cash items of the equity method investments), interest expenses related to the convertible bonds’ amortization to face value, and income tax effects of the above non-GAAP reconciling items. Non-GAAP EBITDA is non-GAAP operating income (loss) added back depreciation and amortization (other than amortization of intangible assets resulting from assets and business acquisitions), and non-GAAP EBITDA margin is non-GAAP EBITDA as a percentage of net revenues. Non-GAAP net income (loss) from continuing operations attributable to controlling interest and common shareholders of JOYY is net income (loss) from continuing operations attributable to controlling interest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interest expenses related to the convertible bonds’ amortization to face value, income tax effects of the above non-GAAP reconciling items and adjustments for non-GAAP reconciling items for the net income (loss) from continuing operations attributable to non-controlling interest shareholders. Non-GAAP net income (loss) margin is non-GAAP net income (loss) from continuing operations attributable to controlling interest and common shareholders of JOYY as a percentage of net revenues. Non-GAAP net income (loss) from continuing operations attributable to controlling interest and common shareholders of JOYY is net income (loss) from continuing operations attributable to common shareholders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interest expenses related to the convertible bonds’ amortization to face value, accretion, cumulative dividend and deemed dividend to subsidiaries’ preferred shareholders, gain on repurchase of redeemable convertible preferred shares of a subsidiary and income tax effects of above non-GAAP reconciling items and adjustments for non-GAAP reconciling items for the net income (loss) from continuing operations attributable to non-controlling interest shareholders. Basic and diluted non-GAAP net income (loss) from continuing operations per ADS is non-GAAP net income (loss) from continuing operations attributable to common shareholders of JOYY divided by weighted average number of ADS used in the calculation of basic and diluted net income (loss) per ADS. The Company believes that separate analysis and exclusion of the non-cash impact of above reconciling items adds clarity to the constituent parts of its performance. The Company reviews these non-GAAP financial measures together with GAAP financial measures to obtain a better understanding of its operating performance. It uses the non-GAAP financial measures for planning, forecasting and measuring results against the forecast. The Company believes that non-GAAP financial measures is useful supplemental information for investors and analysts to assess its operating performance without the non-cash effect of (i) share-based compensation expenses, amortization of intangible assets from business acquisitions, and interest expenses related to the convertible bonds’ amortization to face value, which have been and will continue to be significant recurring expenses in its business, (ii) impairment of goodwill and investments, gain (loss) on deconsolidation and disposal of subsidiaries and business, gain (loss) on disposal and deemed disposal of investments, gain (loss) on fair value change of investments, reconciling items on the share of equity method investments, accretion, cumulative dividend and deemed dividend to subsidiaries’ preferred shareholders and gain on repurchase of redeemable convertible preferred shares of a subsidiary which may not be recurring in its business, and (iii) income tax expenses and non-GAAP adjustments for net income (loss) from continuing operations attributable to non-controlling interest shareholders, which are affected by the above non-GAAP reconciling items. However, the use of non-GAAP financial measures has material limitations as an analytical tool. One of the limitations of using non-GAAP financial measures is that they do not include all items that impact the Company’s net income (loss)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measures in isolation from or as an alternative to the financial measures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695960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right="180"/>
        <w:spacing w:after="0" w:line="266"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“JOYY Inc. Unaudited Reconciliation of GAAP and Non-GAAP Results” near the end of this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joyy-ir@joyy.com</w:t>
      </w:r>
    </w:p>
    <w:p>
      <w:pPr>
        <w:spacing w:after="0" w:line="2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The financial information and non-GAAP financial information disclosed in this press release is presented on a continuing operations basis, unless otherwise specifically stated. Starting from the first quarter of 2026, the Company reports three segments, Social Entertainment, BIGO Ads and Shopline, to reflect changes made to the reporting structure whose financial information is reviewed by the chief operating decision makers of the Company under its evolving operating strategies. Social Entertainment mainly includes live streaming services on our social entertainment platforms including but not limited to Bigo Live, Likee, imo, and others. BIGO Ads mainly engages in advertising services on the Company's own properties (specifically Likee and imo) and third-party network partners’ properties. Shopline mainly engages in providing omnichannel smart commerce solutions for merchants. Prior period segment information has been recast to conform to the current period's presentation.</w:t>
      </w:r>
    </w:p>
    <w:p>
      <w:pPr>
        <w:spacing w:after="0" w:line="243" w:lineRule="exact"/>
        <w:rPr>
          <w:sz w:val="20"/>
          <w:szCs w:val="20"/>
          <w:color w:val="auto"/>
        </w:rPr>
      </w:pPr>
    </w:p>
    <w:p>
      <w:pPr>
        <w:ind w:right="280" w:firstLine="8"/>
        <w:spacing w:after="0" w:line="219" w:lineRule="auto"/>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EBITDA is a non-GAAP financial measure, which is defined as non-GAAP operating income (loss) added back depreciation and amortization (other than amortization of intangible assets resulting from assets and business acquisitions). Please refer to the section titled “Use of Non-GAAP Financial Measures” and the table captioned “JOYY Inc. Unaudited Reconciliation of GAAP and Non-GAAP Results” near the end of this press release for details.</w:t>
      </w:r>
    </w:p>
    <w:p>
      <w:pPr>
        <w:spacing w:after="0" w:line="239" w:lineRule="exact"/>
        <w:rPr>
          <w:sz w:val="20"/>
          <w:szCs w:val="20"/>
          <w:color w:val="auto"/>
        </w:rPr>
      </w:pPr>
    </w:p>
    <w:p>
      <w:pPr>
        <w:ind w:right="200" w:firstLine="8"/>
        <w:spacing w:after="0" w:line="210" w:lineRule="auto"/>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income (loss) from continuing operations attributable to controlling interest of JOYY is net income (loss) from continuing operations less net (loss) income from continuing operations attributable to the non-controlling interest shareholders and the mezzanine equity classified non-controlling interest shareholders.</w:t>
      </w:r>
    </w:p>
    <w:p>
      <w:pPr>
        <w:spacing w:after="0" w:line="20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Non-GAAP net income (loss) from continuing operations attributable to controlling interest and common shareholders of JOYY is a non-GAAP financial measure, which is defined as net income (loss) from continuing operations attributable to common shareholders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which refer to those similar non-GAAP reconciling items of the Company, interest expenses related to the convertible bonds amortization to face value, accretion, cumulative dividend and deemed dividend to subsidiaries’ preferred shareholders, income tax effects of the above non-GAAP reconciling items and adjustments for non-GAAP reconciling items for net (loss) income attributable to non-controlling interest shareholders. Please refer to the section titled “Use of Non-GAAP Financial Measures” and the table captioned “JOYY Inc. Unaudited Reconciliation of GAAP and Non-GAAP Results” near the end of this press release for details.</w:t>
      </w:r>
    </w:p>
    <w:p>
      <w:pPr>
        <w:spacing w:after="0" w:line="240" w:lineRule="exact"/>
        <w:rPr>
          <w:sz w:val="20"/>
          <w:szCs w:val="20"/>
          <w:color w:val="auto"/>
        </w:rPr>
      </w:pPr>
    </w:p>
    <w:p>
      <w:pPr>
        <w:ind w:right="280" w:firstLine="8"/>
        <w:spacing w:after="0" w:line="195"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cash is calculated as the sum of cash and cash equivalents, restricted cash and cash equivalents, short-term deposits, restricted short-term deposits, short-term investments, long-term deposits and held-to-maturity investments, less short-term and long-term loans.</w:t>
      </w:r>
    </w:p>
    <w:p>
      <w:pPr>
        <w:spacing w:after="0" w:line="203"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Refers to average mobile monthly active users of the social entertainment platforms operated by the Company, including Bigo Live, Likee, imo and Hago. Average mobile MAU for any period is calculated by dividing (i) the sum of the Company’s active mobile users for each month of such period, by (ii) the number of months in such period.</w:t>
      </w:r>
    </w:p>
    <w:p>
      <w:pPr>
        <w:spacing w:after="0" w:line="241" w:lineRule="exact"/>
        <w:rPr>
          <w:sz w:val="20"/>
          <w:szCs w:val="20"/>
          <w:color w:val="auto"/>
        </w:rPr>
      </w:pPr>
    </w:p>
    <w:p>
      <w:pPr>
        <w:ind w:right="360" w:firstLine="8"/>
        <w:spacing w:after="0" w:line="195" w:lineRule="auto"/>
        <w:tabs>
          <w:tab w:leader="none" w:pos="1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Core live streaming paying users during a given period is calculated as the cumulative number of registered user accounts that have purchased virtual items or other products and services on Bigo Live, Likee or imo at least once during the relevant period.</w:t>
      </w:r>
    </w:p>
    <w:p>
      <w:pPr>
        <w:spacing w:after="0" w:line="203"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29"/>
          <w:szCs w:val="29"/>
          <w:color w:val="auto"/>
          <w:vertAlign w:val="superscript"/>
        </w:rPr>
        <w:t>8 </w:t>
      </w:r>
      <w:r>
        <w:rPr>
          <w:rFonts w:ascii="Times New Roman" w:cs="Times New Roman" w:eastAsia="Times New Roman" w:hAnsi="Times New Roman"/>
          <w:sz w:val="18"/>
          <w:szCs w:val="18"/>
          <w:color w:val="auto"/>
        </w:rPr>
        <w:t>Average revenue per user is calculated by dividing the Company’s total revenues from live streaming on Bigo Live, Likee and imo during a given period by the number of paying users for the Company’s live streaming services on these platforms for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right="140"/>
        <w:spacing w:after="0" w:line="231" w:lineRule="auto"/>
        <w:rPr>
          <w:sz w:val="20"/>
          <w:szCs w:val="20"/>
          <w:color w:val="auto"/>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Non-GAAP operating income (loss) is a non-GAAP financial measure, which is defined as operating income (loss) excluding share-based compensation expenses, amortization of intangible assets from business acquisitions, impairment of goodwill and investments and gain (loss) on deconsolidation and disposal of subsidiaries and business. Please refer to the section titled “Use of Non-GAAP Financial Measures” and the table captioned “JOYY Inc. Unaudited Reconciliation of GAAP and Non-GAAP Results” near the end of this press release for details.</w:t>
      </w:r>
    </w:p>
    <w:p>
      <w:pPr>
        <w:spacing w:after="0" w:line="239" w:lineRule="exact"/>
        <w:rPr>
          <w:sz w:val="20"/>
          <w:szCs w:val="20"/>
          <w:color w:val="auto"/>
        </w:rPr>
      </w:pPr>
    </w:p>
    <w:p>
      <w:pPr>
        <w:ind w:right="40" w:firstLine="8"/>
        <w:spacing w:after="0" w:line="239" w:lineRule="auto"/>
        <w:tabs>
          <w:tab w:leader="none" w:pos="187"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Non-GAAP operating income (loss) margin is a non-GAAP financial measure, which is defined as non-GAAP operating income (loss) as a percentage of net revenues. Please refer to the section titled “Use of Non-GAAP Financial Measures” and the table captioned “JOYY Inc. Unaudited Reconciliation of GAAP and Non-GAAP Results” near the end of this press release for details.</w:t>
      </w:r>
    </w:p>
    <w:p>
      <w:pPr>
        <w:spacing w:after="0" w:line="240" w:lineRule="exact"/>
        <w:rPr>
          <w:rFonts w:ascii="Times New Roman" w:cs="Times New Roman" w:eastAsia="Times New Roman" w:hAnsi="Times New Roman"/>
          <w:sz w:val="26"/>
          <w:szCs w:val="26"/>
          <w:color w:val="auto"/>
          <w:vertAlign w:val="superscript"/>
        </w:rPr>
      </w:pPr>
    </w:p>
    <w:p>
      <w:pPr>
        <w:ind w:firstLine="8"/>
        <w:spacing w:after="0" w:line="235" w:lineRule="auto"/>
        <w:tabs>
          <w:tab w:leader="none" w:pos="189"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Non-GAAP EBITDA margin is a non-GAAP financial measure, which is defined as non-GAAP EBITDA as a percentage of net revenues. Please refer to the section titled “Use of Non-GAAP Financial Measures” and the table captioned “JOYY Inc. Unaudited Reconciliation of GAAP and Non-GAAP Results” near the end of this press release for details.</w:t>
      </w:r>
    </w:p>
    <w:p>
      <w:pPr>
        <w:spacing w:after="0" w:line="240" w:lineRule="exact"/>
        <w:rPr>
          <w:rFonts w:ascii="Times New Roman" w:cs="Times New Roman" w:eastAsia="Times New Roman" w:hAnsi="Times New Roman"/>
          <w:sz w:val="27"/>
          <w:szCs w:val="27"/>
          <w:color w:val="auto"/>
          <w:vertAlign w:val="superscript"/>
        </w:rPr>
      </w:pPr>
    </w:p>
    <w:p>
      <w:pPr>
        <w:ind w:right="80" w:firstLine="8"/>
        <w:spacing w:after="0" w:line="223" w:lineRule="auto"/>
        <w:tabs>
          <w:tab w:leader="none" w:pos="187"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Non-GAAP net income (loss) margin is non-GAAP net income from continuing operations attributable to controlling interest and common shareholders of JOYY as a percentage of net revenues.</w:t>
      </w:r>
    </w:p>
    <w:p>
      <w:pPr>
        <w:spacing w:after="0" w:line="239" w:lineRule="exact"/>
        <w:rPr>
          <w:rFonts w:ascii="Times New Roman" w:cs="Times New Roman" w:eastAsia="Times New Roman" w:hAnsi="Times New Roman"/>
          <w:sz w:val="26"/>
          <w:szCs w:val="26"/>
          <w:color w:val="auto"/>
          <w:vertAlign w:val="superscript"/>
        </w:rPr>
      </w:pPr>
    </w:p>
    <w:p>
      <w:pPr>
        <w:ind w:right="120" w:firstLine="8"/>
        <w:spacing w:after="0" w:line="223" w:lineRule="auto"/>
        <w:tabs>
          <w:tab w:leader="none" w:pos="187"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ADS refers to American Depositary Share. Each ADS represents twenty Class A common shares of the Company. Diluted net income (loss) per ADS is net income (loss) attributable to common shareholders of JOYY divided by weighted average number of diluted ADS.</w:t>
      </w:r>
    </w:p>
    <w:p>
      <w:pPr>
        <w:spacing w:after="0" w:line="239" w:lineRule="exact"/>
        <w:rPr>
          <w:rFonts w:ascii="Times New Roman" w:cs="Times New Roman" w:eastAsia="Times New Roman" w:hAnsi="Times New Roman"/>
          <w:sz w:val="26"/>
          <w:szCs w:val="26"/>
          <w:color w:val="auto"/>
          <w:vertAlign w:val="superscript"/>
        </w:rPr>
      </w:pPr>
    </w:p>
    <w:p>
      <w:pPr>
        <w:ind w:right="20" w:firstLine="8"/>
        <w:spacing w:after="0" w:line="233" w:lineRule="auto"/>
        <w:tabs>
          <w:tab w:leader="none" w:pos="195"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Non-GAAP diluted net income (loss) from continuing operations per ADS is a non-GAAP financial measure, which is defined as non-GAAP net income (loss) from continuing operations attributable to common shareholders of JOYY divided by weighted average number of ADS used in the calculation of diluted net income (loss) per ADS. Please refer to the section titled “Use of Non-GAAP Financial Measures” and the table captioned “JOYY Inc. Unaudited Reconciliation of GAAP and Non-GAAP Results” near the end of this press release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3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09"/>
        </w:trPr>
        <w:tc>
          <w:tcPr>
            <w:tcW w:w="73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374,248</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309,167</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21,593</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192,535</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154,460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short-term deposits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7,182</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613,702</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657,238</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154,439</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161,363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255,566</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290,375</w:t>
            </w:r>
          </w:p>
        </w:tc>
      </w:tr>
      <w:tr>
        <w:trPr>
          <w:trHeight w:val="209"/>
        </w:trPr>
        <w:tc>
          <w:tcPr>
            <w:tcW w:w="7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1,619,371</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1,598,286</w:t>
            </w:r>
          </w:p>
        </w:tc>
      </w:tr>
      <w:tr>
        <w:trPr>
          <w:trHeight w:val="209"/>
        </w:trPr>
        <w:tc>
          <w:tcPr>
            <w:tcW w:w="7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and held-to-maturity investments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2,059,386</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2,052,055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9,782</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551,802</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589,087</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565,124</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587,978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301,390</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303,951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221,963</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208,236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21,241</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28,124</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2,194,358</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2,194,382</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8,071</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6,104</w:t>
            </w:r>
          </w:p>
        </w:tc>
      </w:tr>
      <w:tr>
        <w:trPr>
          <w:trHeight w:val="210"/>
        </w:trPr>
        <w:tc>
          <w:tcPr>
            <w:tcW w:w="73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5,933,117</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5,980,837</w:t>
            </w:r>
          </w:p>
        </w:tc>
      </w:tr>
      <w:tr>
        <w:trPr>
          <w:trHeight w:val="210"/>
        </w:trPr>
        <w:tc>
          <w:tcPr>
            <w:tcW w:w="73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7,552,488</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7,579,123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loans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10,672</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23,299</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71,551</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68,201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61,713</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59,258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5,408</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64,533</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69,101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626,678</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636,855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24,472</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33,253</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8,939</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10,658</w:t>
            </w:r>
          </w:p>
        </w:tc>
      </w:tr>
      <w:tr>
        <w:trPr>
          <w:trHeight w:val="209"/>
        </w:trPr>
        <w:tc>
          <w:tcPr>
            <w:tcW w:w="73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873,966</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906,918</w:t>
            </w:r>
          </w:p>
        </w:tc>
      </w:tr>
      <w:tr>
        <w:trPr>
          <w:trHeight w:val="210"/>
        </w:trPr>
        <w:tc>
          <w:tcPr>
            <w:tcW w:w="73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12,029</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17,478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9,522</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54,941</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61,304</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10"/>
        </w:trPr>
        <w:tc>
          <w:tcPr>
            <w:tcW w:w="73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76,492</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88,310</w:t>
            </w:r>
          </w:p>
        </w:tc>
      </w:tr>
      <w:tr>
        <w:trPr>
          <w:trHeight w:val="210"/>
        </w:trPr>
        <w:tc>
          <w:tcPr>
            <w:tcW w:w="73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950,458</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995,228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7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gridSpan w:val="3"/>
          </w:tcPr>
          <w:p>
            <w:pPr>
              <w:ind w:left="322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tcPr>
          <w:p>
            <w:pPr>
              <w:spacing w:after="0"/>
              <w:rPr>
                <w:sz w:val="24"/>
                <w:szCs w:val="24"/>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3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3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25,333</w:t>
            </w: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25,733</w:t>
            </w:r>
          </w:p>
        </w:tc>
      </w:tr>
      <w:tr>
        <w:trPr>
          <w:trHeight w:val="216"/>
        </w:trPr>
        <w:tc>
          <w:tcPr>
            <w:tcW w:w="7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7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shares (US$0.00001 par value; 10,000,000,000 and 10,000,000,000 shares</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1,306,734,444 shares issued and 673,183,174 shares outstanding as of December 31,</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1,206,734,444 shares issued and 681,126,029 shares outstanding as of March 31, 2026,</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198"/>
        </w:trPr>
        <w:tc>
          <w:tcPr>
            <w:tcW w:w="7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shares (US$0.00001 par value; 1,000,000,000 and 1,000,000,000 shares</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326,509,555 and 326,509,555 shares issued and outstanding as of December 31, 2025</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March 31, 2026, respectively)</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7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shares (US$0.00001 par value; 633,551,270 and 525,608,415 shares held as of</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and March 31, 2026, respectively)</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(1,302,098)</w:t>
            </w: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(1,095,211)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3,315,070</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3,072,485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reserves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37,869</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37,869</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4,699,089</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4,680,560</w:t>
            </w:r>
          </w:p>
        </w:tc>
        <w:tc>
          <w:tcPr>
            <w:tcW w:w="80" w:type="dxa"/>
            <w:vAlign w:val="bottom"/>
            <w:shd w:val="clear" w:color="auto" w:fill="CCEEFF"/>
          </w:tcPr>
          <w:p>
            <w:pPr>
              <w:spacing w:after="0"/>
              <w:rPr>
                <w:sz w:val="18"/>
                <w:szCs w:val="18"/>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(208,093)</w:t>
            </w: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(168,409)</w:t>
            </w:r>
          </w:p>
        </w:tc>
      </w:tr>
      <w:tr>
        <w:trPr>
          <w:trHeight w:val="210"/>
        </w:trPr>
        <w:tc>
          <w:tcPr>
            <w:tcW w:w="7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JOYY Inc.’s shareholders’ equity</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6,541,847</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6,527,304</w:t>
            </w:r>
          </w:p>
        </w:tc>
        <w:tc>
          <w:tcPr>
            <w:tcW w:w="80" w:type="dxa"/>
            <w:vAlign w:val="bottom"/>
          </w:tcPr>
          <w:p>
            <w:pPr>
              <w:spacing w:after="0"/>
              <w:rPr>
                <w:sz w:val="19"/>
                <w:szCs w:val="19"/>
                <w:color w:val="auto"/>
              </w:rPr>
            </w:pPr>
          </w:p>
        </w:tc>
      </w:tr>
      <w:tr>
        <w:trPr>
          <w:trHeight w:val="210"/>
        </w:trPr>
        <w:tc>
          <w:tcPr>
            <w:tcW w:w="7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34,850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30,858</w:t>
            </w:r>
          </w:p>
        </w:tc>
      </w:tr>
      <w:tr>
        <w:trPr>
          <w:trHeight w:val="216"/>
        </w:trPr>
        <w:tc>
          <w:tcPr>
            <w:tcW w:w="7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6,576,697</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6,558,162</w:t>
            </w:r>
          </w:p>
        </w:tc>
        <w:tc>
          <w:tcPr>
            <w:tcW w:w="80" w:type="dxa"/>
            <w:vAlign w:val="bottom"/>
          </w:tcPr>
          <w:p>
            <w:pPr>
              <w:spacing w:after="0"/>
              <w:rPr>
                <w:sz w:val="19"/>
                <w:szCs w:val="19"/>
                <w:color w:val="auto"/>
              </w:rPr>
            </w:pPr>
          </w:p>
        </w:tc>
      </w:tr>
      <w:tr>
        <w:trPr>
          <w:trHeight w:val="210"/>
        </w:trPr>
        <w:tc>
          <w:tcPr>
            <w:tcW w:w="7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7,552,488</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7,579,123</w:t>
            </w:r>
          </w:p>
        </w:tc>
        <w:tc>
          <w:tcPr>
            <w:tcW w:w="80" w:type="dxa"/>
            <w:vAlign w:val="bottom"/>
          </w:tcPr>
          <w:p>
            <w:pPr>
              <w:spacing w:after="0"/>
              <w:rPr>
                <w:sz w:val="21"/>
                <w:szCs w:val="21"/>
                <w:color w:val="auto"/>
              </w:rPr>
            </w:pPr>
          </w:p>
        </w:tc>
      </w:tr>
      <w:tr>
        <w:trPr>
          <w:trHeight w:val="20"/>
        </w:trPr>
        <w:tc>
          <w:tcPr>
            <w:tcW w:w="73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920" w:type="dxa"/>
            <w:vAlign w:val="bottom"/>
            <w:tcBorders>
              <w:bottom w:val="single" w:sz="8" w:color="auto"/>
            </w:tcBorders>
            <w:gridSpan w:val="4"/>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48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56"/>
        </w:trPr>
        <w:tc>
          <w:tcPr>
            <w:tcW w:w="6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29"/>
                <w:szCs w:val="29"/>
                <w:b w:val="1"/>
                <w:bCs w:val="1"/>
                <w:color w:val="auto"/>
                <w:vertAlign w:val="superscript"/>
              </w:rPr>
              <w:t>(1)</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371,348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394,436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380,265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88,647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145,430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137,204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42,050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38,231</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494,351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581,916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555,700</w:t>
            </w: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6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(315,736)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(376,275)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(366,403)</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178,615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205,641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189,297</w:t>
            </w: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98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(62,426)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(61,538)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(61,187)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(72,131)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(81,415)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(79,649)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(32,690)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(44,867)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(42,572)</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(167,247)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(187,820)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(183,408)</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deconsolidation and disposal of subsidiaries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6,833</w:t>
            </w: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39,387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39,765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losses, net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(8,171)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(13,555)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fair value change of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(10,120)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(7,958)</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51,432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40,685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25,047</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(4,834)</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share of (loss) income in equity method investments, net of income taxes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39,317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20,213</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of (loss) income in equity method investments, net of income taxes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11,868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27,953</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51,185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48,166</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69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Gain on disposal of YY Live</w:t>
            </w:r>
            <w:r>
              <w:rPr>
                <w:rFonts w:ascii="Times New Roman" w:cs="Times New Roman" w:eastAsia="Times New Roman" w:hAnsi="Times New Roman"/>
                <w:sz w:val="29"/>
                <w:szCs w:val="29"/>
                <w:b w:val="1"/>
                <w:bCs w:val="1"/>
                <w:color w:val="auto"/>
                <w:vertAlign w:val="superscript"/>
              </w:rPr>
              <w:t>(3)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1,875,921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1,918,824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51,185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48,166</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the non-controlling interest shareholders and the mezzanine equity</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classified non-controlling interest shareholders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2,501</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controlling interest of JOYY Inc.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1,921,323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54,327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50,667</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Including</w:t>
            </w:r>
            <w:r>
              <w:rPr>
                <w:rFonts w:ascii="MS PGothic" w:cs="MS PGothic" w:eastAsia="MS PGothic" w:hAnsi="MS PGothic"/>
                <w:sz w:val="18"/>
                <w:szCs w:val="18"/>
                <w:color w:val="auto"/>
              </w:rPr>
              <w:t>：</w:t>
            </w: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 attributable to controlling interest of JOYY Inc.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45,402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54,327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50,667</w:t>
            </w:r>
          </w:p>
        </w:tc>
      </w:tr>
      <w:tr>
        <w:trPr>
          <w:trHeight w:val="256"/>
        </w:trPr>
        <w:tc>
          <w:tcPr>
            <w:tcW w:w="6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Gain on disposal of YY Live</w:t>
            </w:r>
            <w:r>
              <w:rPr>
                <w:rFonts w:ascii="Times New Roman" w:cs="Times New Roman" w:eastAsia="Times New Roman" w:hAnsi="Times New Roman"/>
                <w:sz w:val="29"/>
                <w:szCs w:val="29"/>
                <w:b w:val="1"/>
                <w:bCs w:val="1"/>
                <w:color w:val="auto"/>
                <w:vertAlign w:val="superscript"/>
              </w:rPr>
              <w:t>(3)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1,875,921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subsidiaries’ redeemable convertible preferred shares to redemption value</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 of JOYY Inc.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1,920,976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53,981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50,321</w:t>
            </w: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Including</w:t>
            </w:r>
            <w:r>
              <w:rPr>
                <w:rFonts w:ascii="MS PGothic" w:cs="MS PGothic" w:eastAsia="MS PGothic" w:hAnsi="MS PGothic"/>
                <w:sz w:val="18"/>
                <w:szCs w:val="18"/>
                <w:color w:val="auto"/>
              </w:rPr>
              <w:t>：</w:t>
            </w: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94"/>
        </w:trPr>
        <w:tc>
          <w:tcPr>
            <w:tcW w:w="6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from continuing operations attributable to common shareholders of JOYY</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53,981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50,321</w:t>
            </w:r>
          </w:p>
        </w:tc>
      </w:tr>
      <w:tr>
        <w:trPr>
          <w:trHeight w:val="256"/>
        </w:trPr>
        <w:tc>
          <w:tcPr>
            <w:tcW w:w="6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Gain on disposal of YY Live</w:t>
            </w:r>
            <w:r>
              <w:rPr>
                <w:rFonts w:ascii="Times New Roman" w:cs="Times New Roman" w:eastAsia="Times New Roman" w:hAnsi="Times New Roman"/>
                <w:sz w:val="29"/>
                <w:szCs w:val="29"/>
                <w:b w:val="1"/>
                <w:bCs w:val="1"/>
                <w:color w:val="auto"/>
                <w:vertAlign w:val="superscript"/>
              </w:rPr>
              <w:t>(3)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1,875,921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-1711960</wp:posOffset>
            </wp:positionV>
            <wp:extent cx="43180" cy="88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88265"/>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-554990</wp:posOffset>
            </wp:positionV>
            <wp:extent cx="43180" cy="88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ectPr>
          <w:pgSz w:w="11900" w:h="16838" w:orient="portrait"/>
          <w:cols w:equalWidth="0" w:num="1">
            <w:col w:w="11240"/>
          </w:cols>
          <w:pgMar w:left="320" w:top="900" w:right="339" w:bottom="204"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 (CONTINUED)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3" w:lineRule="exact"/>
        <w:rPr>
          <w:sz w:val="20"/>
          <w:szCs w:val="20"/>
          <w:color w:val="auto"/>
        </w:rPr>
      </w:pPr>
    </w:p>
    <w:p>
      <w:pPr>
        <w:ind w:left="180" w:right="560" w:hanging="161"/>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Weighted average number of ADS used in calculating net income per ADS </w:t>
      </w: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Net revenues by geographical areas were as follows: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4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r>
      <w:tr>
        <w:trPr>
          <w:trHeight w:val="238"/>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0"/>
                <w:szCs w:val="20"/>
                <w:color w:val="auto"/>
              </w:rPr>
            </w:pPr>
          </w:p>
        </w:tc>
      </w:tr>
      <w:tr>
        <w:trPr>
          <w:trHeight w:val="228"/>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9"/>
                <w:szCs w:val="19"/>
                <w:color w:val="auto"/>
              </w:rPr>
            </w:pPr>
          </w:p>
        </w:tc>
      </w:tr>
      <w:tr>
        <w:trPr>
          <w:trHeight w:val="436"/>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684"/>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53,237,127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51,794,999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49,767,292</w:t>
            </w:r>
          </w:p>
        </w:tc>
      </w:tr>
      <w:tr>
        <w:trPr>
          <w:trHeight w:val="234"/>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53,780,111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52,629,562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50,534,120</w:t>
            </w:r>
          </w:p>
        </w:tc>
      </w:tr>
    </w:tbl>
    <w:p>
      <w:pPr>
        <w:spacing w:after="0" w:line="631" w:lineRule="exact"/>
        <w:rPr>
          <w:sz w:val="20"/>
          <w:szCs w:val="20"/>
          <w:color w:val="auto"/>
        </w:rPr>
      </w:pPr>
    </w:p>
    <w:p>
      <w:pPr>
        <w:sectPr>
          <w:pgSz w:w="11900" w:h="16838" w:orient="portrait"/>
          <w:cols w:equalWidth="0" w:num="2">
            <w:col w:w="6260" w:space="720"/>
            <w:col w:w="4260"/>
          </w:cols>
          <w:pgMar w:left="320" w:top="900" w:right="339" w:bottom="144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7100" w:type="dxa"/>
            <w:vAlign w:val="bottom"/>
          </w:tcPr>
          <w:p>
            <w:pPr>
              <w:spacing w:after="0"/>
              <w:rPr>
                <w:sz w:val="18"/>
                <w:szCs w:val="18"/>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8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r>
      <w:tr>
        <w:trPr>
          <w:trHeight w:val="238"/>
        </w:trPr>
        <w:tc>
          <w:tcPr>
            <w:tcW w:w="7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Pr>
          <w:p>
            <w:pPr>
              <w:spacing w:after="0"/>
              <w:rPr>
                <w:sz w:val="20"/>
                <w:szCs w:val="20"/>
                <w:color w:val="auto"/>
              </w:rPr>
            </w:pPr>
          </w:p>
        </w:tc>
        <w:tc>
          <w:tcPr>
            <w:tcW w:w="14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09"/>
        </w:trPr>
        <w:tc>
          <w:tcPr>
            <w:tcW w:w="71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countries and regions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277,615</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356,624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343,244</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Middle East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66,651</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58,899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58,760</w:t>
            </w: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48,385</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59,817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52,063</w:t>
            </w: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Southeast Asia and others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101,700</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106,576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101,633</w:t>
            </w:r>
          </w:p>
        </w:tc>
      </w:tr>
    </w:tbl>
    <w:p>
      <w:pPr>
        <w:spacing w:after="0" w:line="220"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Note: Developed countries and region mainly included the United States of America, Singapore, Japan, South Korea and Great Britain. Middle East mainly included Saudi Arabia and other countries located in the region. Southeast Asia and others mainly included Indonesia, Vietnam and rest of the world.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Share-based compensation was allocated in cost of revenues and operating expenses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7100" w:type="dxa"/>
            <w:vAlign w:val="bottom"/>
          </w:tcPr>
          <w:p>
            <w:pPr>
              <w:spacing w:after="0"/>
              <w:rPr>
                <w:sz w:val="18"/>
                <w:szCs w:val="18"/>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8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r>
      <w:tr>
        <w:trPr>
          <w:trHeight w:val="238"/>
        </w:trPr>
        <w:tc>
          <w:tcPr>
            <w:tcW w:w="7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Pr>
          <w:p>
            <w:pPr>
              <w:spacing w:after="0"/>
              <w:rPr>
                <w:sz w:val="20"/>
                <w:szCs w:val="20"/>
                <w:color w:val="auto"/>
              </w:rPr>
            </w:pPr>
          </w:p>
        </w:tc>
        <w:tc>
          <w:tcPr>
            <w:tcW w:w="14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09"/>
        </w:trPr>
        <w:tc>
          <w:tcPr>
            <w:tcW w:w="71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2,138</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3,231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2,235</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4,035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14,633</w:t>
            </w:r>
          </w:p>
        </w:tc>
      </w:tr>
    </w:tbl>
    <w:p>
      <w:pPr>
        <w:spacing w:after="0" w:line="220" w:lineRule="exact"/>
        <w:rPr>
          <w:sz w:val="20"/>
          <w:szCs w:val="20"/>
          <w:color w:val="auto"/>
        </w:rPr>
      </w:pPr>
    </w:p>
    <w:p>
      <w:pPr>
        <w:ind w:right="740" w:firstLine="8"/>
        <w:spacing w:after="0" w:line="282" w:lineRule="auto"/>
        <w:tabs>
          <w:tab w:leader="none" w:pos="3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from disposal of YY Live amounted to approximately US$ 1.9 billion, which was reported as part of the net income from discontinued operations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920" w:type="dxa"/>
            <w:vAlign w:val="bottom"/>
            <w:tcBorders>
              <w:bottom w:val="single" w:sz="8" w:color="auto"/>
            </w:tcBorders>
            <w:gridSpan w:val="4"/>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48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18,265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17,337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on deconsolidation and disposal of subsidiaries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40,843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37,955</w:t>
            </w: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00" w:type="dxa"/>
            <w:vAlign w:val="bottom"/>
            <w:tcBorders>
              <w:bottom w:val="single" w:sz="8" w:color="CCEEFF"/>
            </w:tcBorders>
          </w:tcPr>
          <w:p>
            <w:pPr>
              <w:spacing w:after="0"/>
              <w:rPr>
                <w:sz w:val="18"/>
                <w:szCs w:val="18"/>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EBITDA</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40,386</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50,617</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51,185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48,166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17,337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on deconsolidation and disposal of subsidiaries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fair value change of investments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(3,012)</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(13,483)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(30,192)</w:t>
            </w:r>
          </w:p>
        </w:tc>
      </w:tr>
      <w:tr>
        <w:trPr>
          <w:trHeight w:val="26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 from continuing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61,458</w:t>
            </w:r>
          </w:p>
        </w:tc>
        <w:tc>
          <w:tcPr>
            <w:tcW w:w="2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67,850</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54,042</w:t>
            </w:r>
          </w:p>
        </w:tc>
        <w:tc>
          <w:tcPr>
            <w:tcW w:w="100" w:type="dxa"/>
            <w:vAlign w:val="bottom"/>
            <w:tcBorders>
              <w:bottom w:val="single" w:sz="8" w:color="CCEEFF"/>
            </w:tcBorders>
          </w:tcPr>
          <w:p>
            <w:pPr>
              <w:spacing w:after="0"/>
              <w:rPr>
                <w:sz w:val="22"/>
                <w:szCs w:val="22"/>
                <w:color w:val="auto"/>
              </w:rPr>
            </w:pPr>
          </w:p>
        </w:tc>
      </w:tr>
      <w:tr>
        <w:trPr>
          <w:trHeight w:val="196"/>
        </w:trPr>
        <w:tc>
          <w:tcPr>
            <w:tcW w:w="6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shareholders of JOYY Inc.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53,981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50,321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deconsolidation and disposal of subsidiaries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fair value change of investments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cumulative dividend and deemed dividend to subsidiaries’ preferred shareholders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(13,483)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(30,192)</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 for net loss attributable to the non-controlling interest shareholders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r>
      <w:tr>
        <w:trPr>
          <w:trHeight w:val="174"/>
        </w:trPr>
        <w:tc>
          <w:tcPr>
            <w:tcW w:w="69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Non-GAAP net income from continuing operations attributable to controlling interest</w:t>
            </w: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common shareholders of JOYY Inc.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63,196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70,270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55,941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from continuing operations per ADS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ADS used in calculating Non-GAAP net income from</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continuing operations per ADS</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53,237,127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51,794,999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49,767,292</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53,780,111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52,629,562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50,534,120</w:t>
            </w:r>
          </w:p>
        </w:tc>
      </w:tr>
      <w:tr>
        <w:trPr>
          <w:trHeight w:val="67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01"/>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17"/>
                <w:szCs w:val="17"/>
                <w:color w:val="auto"/>
              </w:rPr>
            </w:pPr>
          </w:p>
        </w:tc>
        <w:tc>
          <w:tcPr>
            <w:tcW w:w="1560" w:type="dxa"/>
            <w:vAlign w:val="bottom"/>
            <w:gridSpan w:val="4"/>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8"/>
        </w:trPr>
        <w:tc>
          <w:tcPr>
            <w:tcW w:w="698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3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Social Entertainment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387,813</w:t>
            </w:r>
          </w:p>
        </w:tc>
        <w:tc>
          <w:tcPr>
            <w:tcW w:w="16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419,050</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400,367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BIGO Ads</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80,220</w:t>
            </w:r>
          </w:p>
        </w:tc>
        <w:tc>
          <w:tcPr>
            <w:tcW w:w="160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128,611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124,787</w:t>
            </w:r>
          </w:p>
        </w:tc>
        <w:tc>
          <w:tcPr>
            <w:tcW w:w="8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Shopline</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6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34,255</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80" w:type="dxa"/>
            <w:vAlign w:val="bottom"/>
          </w:tcPr>
          <w:p>
            <w:pPr>
              <w:spacing w:after="0"/>
              <w:rPr>
                <w:sz w:val="19"/>
                <w:szCs w:val="19"/>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494,351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581,916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6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Cost of revenues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Social Entertainment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(247,494)</w:t>
            </w:r>
          </w:p>
        </w:tc>
        <w:tc>
          <w:tcPr>
            <w:tcW w:w="16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(260,186)</w:t>
            </w: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(255,979)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BIGO Ads</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(53,675)</w:t>
            </w:r>
          </w:p>
        </w:tc>
        <w:tc>
          <w:tcPr>
            <w:tcW w:w="160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(98,149)</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(95,600)</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Shopline</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16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(17,940)</w:t>
            </w:r>
          </w:p>
        </w:tc>
        <w:tc>
          <w:tcPr>
            <w:tcW w:w="1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(14,824)</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(315,736</w:t>
            </w: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(376,275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(366,403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Social Entertainment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140,319</w:t>
            </w:r>
          </w:p>
        </w:tc>
        <w:tc>
          <w:tcPr>
            <w:tcW w:w="16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158,864</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144,388</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BIGO Ads</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160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30,462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29,187</w:t>
            </w:r>
          </w:p>
        </w:tc>
        <w:tc>
          <w:tcPr>
            <w:tcW w:w="8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Shopline</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16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16,315</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80" w:type="dxa"/>
            <w:vAlign w:val="bottom"/>
          </w:tcPr>
          <w:p>
            <w:pPr>
              <w:spacing w:after="0"/>
              <w:rPr>
                <w:sz w:val="19"/>
                <w:szCs w:val="19"/>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45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compensation allocated to cost of revenues by segment as follows: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3"/>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4"/>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gridSpan w:val="2"/>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3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gridSpan w:val="2"/>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gridSpan w:val="2"/>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Social Entertainment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shd w:val="clear" w:color="auto" w:fill="CCEEFF"/>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BIGO Ads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Shopline</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 allocated to cost of revenues</w:t>
            </w: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95"/>
        </w:trPr>
        <w:tc>
          <w:tcPr>
            <w:tcW w:w="6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5"/>
      <w:numFmt w:val="bullet"/>
      <w:start w:val="1"/>
    </w:lvl>
  </w:abstractNum>
  <w:abstractNum w:abstractNumId="10">
    <w:nsid w:val="66EF438D"/>
    <w:multiLevelType w:val="hybridMultilevel"/>
    <w:lvl w:ilvl="0">
      <w:lvlJc w:val="left"/>
      <w:lvlText w:val="7"/>
      <w:numFmt w:val="bullet"/>
      <w:start w:val="1"/>
    </w:lvl>
  </w:abstractNum>
  <w:abstractNum w:abstractNumId="11">
    <w:nsid w:val="140E0F76"/>
    <w:multiLevelType w:val="hybridMultilevel"/>
    <w:lvl w:ilvl="0">
      <w:lvlJc w:val="left"/>
      <w:lvlText w:val="%1"/>
      <w:numFmt w:val="decimal"/>
      <w:start w:val="10"/>
    </w:lvl>
  </w:abstractNum>
  <w:abstractNum w:abstractNumId="12">
    <w:nsid w:val="335225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2026-05-26T05:33:09Z</dcterms:created>
  <dcterms:modified xsi:type="dcterms:W3CDTF">2026-05-26T05:33:09Z</dcterms:modified>
</cp:coreProperties>
</file>