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001-35729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JOYY INC.</w:t>
      </w:r>
    </w:p>
    <w:p>
      <w:pPr>
        <w:spacing w:after="0" w:line="2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30 Pasir Panjang Road #15-31A Mapletree Business City,</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Singapore 117440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3100"/>
        <w:spacing w:after="0" w:line="207" w:lineRule="exact"/>
        <w:tabs>
          <w:tab w:leader="none" w:pos="7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Exhibit 99.1</w:t>
            </w:r>
          </w:p>
        </w:tc>
        <w:tc>
          <w:tcPr>
            <w:tcW w:w="94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w:t>
            </w:r>
          </w:p>
        </w:tc>
      </w:tr>
      <w:tr>
        <w:trPr>
          <w:trHeight w:val="696"/>
        </w:trPr>
        <w:tc>
          <w:tcPr>
            <w:tcW w:w="10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8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5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JOYY INC.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Ting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Ting Li</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0"/>
          </w:cols>
          <w:pgMar w:left="320" w:top="904"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JOYY Reports Third Quarter 2025 Unaudited Financial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Singapore, November 20, 2025 (GLOBE NEWSWIRE) -- JOYY Inc. (NASDAQ: JOYY) (“JOYY” or the “Company”), a global technology company, today announced its unaudited financial results for the third quarter of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Highlights</w:t>
      </w:r>
      <w:r>
        <w:rPr>
          <w:rFonts w:ascii="Times New Roman" w:cs="Times New Roman" w:eastAsia="Times New Roman" w:hAnsi="Times New Roman"/>
          <w:sz w:val="29"/>
          <w:szCs w:val="29"/>
          <w:color w:val="auto"/>
          <w:vertAlign w:val="superscript"/>
        </w:rPr>
        <w:t>1</w:t>
      </w:r>
    </w:p>
    <w:p>
      <w:pPr>
        <w:spacing w:after="0" w:line="131" w:lineRule="exact"/>
        <w:rPr>
          <w:sz w:val="20"/>
          <w:szCs w:val="20"/>
          <w:color w:val="auto"/>
        </w:rPr>
      </w:pPr>
    </w:p>
    <w:p>
      <w:pPr>
        <w:ind w:left="180" w:hanging="172"/>
        <w:spacing w:after="0" w:line="286" w:lineRule="auto"/>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revenues </w:t>
      </w:r>
      <w:r>
        <w:rPr>
          <w:rFonts w:ascii="Times New Roman" w:cs="Times New Roman" w:eastAsia="Times New Roman" w:hAnsi="Times New Roman"/>
          <w:sz w:val="18"/>
          <w:szCs w:val="18"/>
          <w:color w:val="auto"/>
        </w:rPr>
        <w:t>were US$540.2 million, compared with US$558.7 million in the corresponding period of 2024, representing an increase of 6.4%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US$507.8 million in the second quarter of 2025.</w:t>
      </w:r>
    </w:p>
    <w:p>
      <w:pPr>
        <w:spacing w:after="0" w:line="155" w:lineRule="exact"/>
        <w:rPr>
          <w:sz w:val="20"/>
          <w:szCs w:val="20"/>
          <w:color w:val="auto"/>
        </w:rPr>
      </w:pPr>
    </w:p>
    <w:p>
      <w:pPr>
        <w:ind w:left="660" w:hanging="328"/>
        <w:spacing w:after="0" w:line="286"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Live streaming revenues </w:t>
      </w:r>
      <w:r>
        <w:rPr>
          <w:rFonts w:ascii="Times New Roman" w:cs="Times New Roman" w:eastAsia="Times New Roman" w:hAnsi="Times New Roman"/>
          <w:sz w:val="18"/>
          <w:szCs w:val="18"/>
          <w:color w:val="auto"/>
        </w:rPr>
        <w:t>were US$388.5 million, compared with US$439.5 million in the corresponding period of 2024, representing an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3.5% from US$375.4 million in the second quarter of 2025.</w:t>
      </w:r>
    </w:p>
    <w:p>
      <w:pPr>
        <w:spacing w:after="0" w:line="158" w:lineRule="exact"/>
        <w:rPr>
          <w:rFonts w:ascii="Times New Roman" w:cs="Times New Roman" w:eastAsia="Times New Roman" w:hAnsi="Times New Roman"/>
          <w:sz w:val="18"/>
          <w:szCs w:val="18"/>
          <w:color w:val="auto"/>
        </w:rPr>
      </w:pPr>
    </w:p>
    <w:p>
      <w:pPr>
        <w:ind w:left="660" w:right="20" w:hanging="328"/>
        <w:spacing w:after="0" w:line="189" w:lineRule="auto"/>
        <w:tabs>
          <w:tab w:leader="none" w:pos="660" w:val="left"/>
        </w:tabs>
        <w:numPr>
          <w:ilvl w:val="1"/>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Advertising revenues</w:t>
      </w:r>
      <w:r>
        <w:rPr>
          <w:rFonts w:ascii="Times New Roman" w:cs="Times New Roman" w:eastAsia="Times New Roman" w:hAnsi="Times New Roman"/>
          <w:sz w:val="29"/>
          <w:szCs w:val="29"/>
          <w:b w:val="1"/>
          <w:bCs w:val="1"/>
          <w:color w:val="auto"/>
          <w:vertAlign w:val="superscript"/>
        </w:rPr>
        <w:t>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by 29.2% to US$112.5 million from US$87.1 million in the corresponding period of 2024 and by 17.1%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US$96.1 million in the second quarter of 2025.</w:t>
      </w:r>
    </w:p>
    <w:p>
      <w:pPr>
        <w:spacing w:after="0" w:line="195" w:lineRule="exact"/>
        <w:rPr>
          <w:rFonts w:ascii="Times New Roman" w:cs="Times New Roman" w:eastAsia="Times New Roman" w:hAnsi="Times New Roman"/>
          <w:sz w:val="36"/>
          <w:szCs w:val="36"/>
          <w:color w:val="auto"/>
          <w:vertAlign w:val="superscript"/>
        </w:rPr>
      </w:pPr>
    </w:p>
    <w:p>
      <w:pPr>
        <w:ind w:left="660" w:hanging="328"/>
        <w:spacing w:after="0" w:line="286" w:lineRule="auto"/>
        <w:tabs>
          <w:tab w:leader="none" w:pos="6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revenues </w:t>
      </w:r>
      <w:r>
        <w:rPr>
          <w:rFonts w:ascii="Times New Roman" w:cs="Times New Roman" w:eastAsia="Times New Roman" w:hAnsi="Times New Roman"/>
          <w:sz w:val="18"/>
          <w:szCs w:val="18"/>
          <w:color w:val="auto"/>
        </w:rPr>
        <w:t>increased by 22.3% to US$39.2 million from US$32.1 million in the corresponding period of 2024 and by 8.3% from US$36.2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second quarter of 2025.</w:t>
      </w:r>
    </w:p>
    <w:p>
      <w:pPr>
        <w:spacing w:after="0" w:line="154" w:lineRule="exact"/>
        <w:rPr>
          <w:rFonts w:ascii="Times New Roman" w:cs="Times New Roman" w:eastAsia="Times New Roman" w:hAnsi="Times New Roman"/>
          <w:sz w:val="18"/>
          <w:szCs w:val="18"/>
          <w:color w:val="auto"/>
        </w:rPr>
      </w:pPr>
    </w:p>
    <w:p>
      <w:pPr>
        <w:ind w:left="180" w:right="20" w:hanging="172"/>
        <w:spacing w:after="0" w:line="286"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was US$19.6 million in the third quarter of 2025, representing an increase of 19.1% from US$16.4 million in the corresponding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2024 and an increase of 237.3% from US$5.8 million in the second quarter of 2025.</w:t>
      </w:r>
    </w:p>
    <w:p>
      <w:pPr>
        <w:spacing w:after="0" w:line="162" w:lineRule="exact"/>
        <w:rPr>
          <w:rFonts w:ascii="Times New Roman" w:cs="Times New Roman" w:eastAsia="Times New Roman" w:hAnsi="Times New Roman"/>
          <w:sz w:val="18"/>
          <w:szCs w:val="18"/>
          <w:color w:val="auto"/>
        </w:rPr>
      </w:pPr>
    </w:p>
    <w:p>
      <w:pPr>
        <w:ind w:left="180" w:hanging="172"/>
        <w:spacing w:after="0" w:line="188" w:lineRule="auto"/>
        <w:tabs>
          <w:tab w:leader="none" w:pos="18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EBITDA</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US$50.6 million, representing an increase of 16.8% from US$43.3 million in the corresponding period of 2024 and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of 4.9% from US$48.2 million in the second quarter of 2025.</w:t>
      </w:r>
    </w:p>
    <w:p>
      <w:pPr>
        <w:spacing w:after="0" w:line="202" w:lineRule="exact"/>
        <w:rPr>
          <w:rFonts w:ascii="Times New Roman" w:cs="Times New Roman" w:eastAsia="Times New Roman" w:hAnsi="Times New Roman"/>
          <w:sz w:val="36"/>
          <w:szCs w:val="36"/>
          <w:color w:val="auto"/>
          <w:vertAlign w:val="superscript"/>
        </w:rPr>
      </w:pPr>
    </w:p>
    <w:p>
      <w:pPr>
        <w:ind w:left="180" w:hanging="172"/>
        <w:spacing w:after="0" w:line="188" w:lineRule="auto"/>
        <w:tabs>
          <w:tab w:leader="none" w:pos="18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Net income from continuing operations attributable to controlling interest of JOYY</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US$62.0 million, representing an increase of 2.3%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US$60.6 million in the corresponding period of 2024 and an increase of 1.9% from US$60.8 million in the second quarter of 2025.</w:t>
      </w:r>
    </w:p>
    <w:p>
      <w:pPr>
        <w:spacing w:after="0" w:line="202" w:lineRule="exact"/>
        <w:rPr>
          <w:rFonts w:ascii="Times New Roman" w:cs="Times New Roman" w:eastAsia="Times New Roman" w:hAnsi="Times New Roman"/>
          <w:sz w:val="36"/>
          <w:szCs w:val="36"/>
          <w:color w:val="auto"/>
          <w:vertAlign w:val="superscript"/>
        </w:rPr>
      </w:pPr>
    </w:p>
    <w:p>
      <w:pPr>
        <w:jc w:val="both"/>
        <w:ind w:left="180" w:hanging="172"/>
        <w:spacing w:after="0" w:line="203" w:lineRule="auto"/>
        <w:tabs>
          <w:tab w:leader="none" w:pos="18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net income from continuing operations attributable to controlling interest and common shareholders of JOYY</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US$72.4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an increase of 18.4% from US$61.2 million in the corresponding period of 2024, compared with US$77.0 million in the second quarter of 2025.</w:t>
      </w:r>
    </w:p>
    <w:p>
      <w:pPr>
        <w:spacing w:after="0" w:line="184" w:lineRule="exact"/>
        <w:rPr>
          <w:rFonts w:ascii="Times New Roman" w:cs="Times New Roman" w:eastAsia="Times New Roman" w:hAnsi="Times New Roman"/>
          <w:sz w:val="36"/>
          <w:szCs w:val="36"/>
          <w:color w:val="auto"/>
          <w:vertAlign w:val="superscript"/>
        </w:rPr>
      </w:pPr>
    </w:p>
    <w:p>
      <w:pPr>
        <w:ind w:left="180" w:hanging="172"/>
        <w:spacing w:after="0"/>
        <w:tabs>
          <w:tab w:leader="none" w:pos="18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Net Cash</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September 30, 2025 was US$3,320.9 million.</w:t>
      </w:r>
    </w:p>
    <w:p>
      <w:pPr>
        <w:spacing w:after="0" w:line="77" w:lineRule="exact"/>
        <w:rPr>
          <w:rFonts w:ascii="Times New Roman" w:cs="Times New Roman" w:eastAsia="Times New Roman" w:hAnsi="Times New Roman"/>
          <w:sz w:val="36"/>
          <w:szCs w:val="36"/>
          <w:color w:val="auto"/>
          <w:vertAlign w:val="superscript"/>
        </w:rPr>
      </w:pPr>
    </w:p>
    <w:p>
      <w:pPr>
        <w:ind w:left="180" w:hanging="172"/>
        <w:spacing w:after="0"/>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cash from operating activities </w:t>
      </w:r>
      <w:r>
        <w:rPr>
          <w:rFonts w:ascii="Times New Roman" w:cs="Times New Roman" w:eastAsia="Times New Roman" w:hAnsi="Times New Roman"/>
          <w:sz w:val="18"/>
          <w:szCs w:val="18"/>
          <w:color w:val="auto"/>
        </w:rPr>
        <w:t>was US$73.4 million, compared with US$61.1 million in the corresponding period of 2024.</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 Business Highlights</w:t>
      </w:r>
    </w:p>
    <w:p>
      <w:pPr>
        <w:spacing w:after="0" w:line="23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Global community</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953770</wp:posOffset>
            </wp:positionH>
            <wp:positionV relativeFrom="paragraph">
              <wp:posOffset>-88900</wp:posOffset>
            </wp:positionV>
            <wp:extent cx="43180" cy="88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226" w:lineRule="exact"/>
        <w:rPr>
          <w:sz w:val="20"/>
          <w:szCs w:val="20"/>
          <w:color w:val="auto"/>
        </w:rPr>
      </w:pPr>
    </w:p>
    <w:p>
      <w:pPr>
        <w:ind w:firstLine="8"/>
        <w:spacing w:after="0" w:line="216" w:lineRule="auto"/>
        <w:tabs>
          <w:tab w:leader="none" w:pos="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average mobile MAUs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reached 266.2 million in the third quarter of 2025, compared with 272.4 million in the corresponding period of 2024. The global average mobile MAUs was up by 1.4% from 262.5 million in the second quarter of 2025.</w:t>
      </w:r>
    </w:p>
    <w:p>
      <w:pPr>
        <w:spacing w:after="0" w:line="198" w:lineRule="exact"/>
        <w:rPr>
          <w:rFonts w:ascii="Times New Roman" w:cs="Times New Roman" w:eastAsia="Times New Roman" w:hAnsi="Times New Roman"/>
          <w:sz w:val="18"/>
          <w:szCs w:val="18"/>
          <w:color w:val="auto"/>
        </w:rPr>
      </w:pPr>
    </w:p>
    <w:p>
      <w:pPr>
        <w:ind w:left="100" w:hanging="92"/>
        <w:spacing w:after="0"/>
        <w:tabs>
          <w:tab w:leader="none" w:pos="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continued to optimize its marketing strategies to focus on return-on-investment and high-value users.</w:t>
      </w:r>
    </w:p>
    <w:p>
      <w:pPr>
        <w:spacing w:after="0" w:line="23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Live streaming</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-88900</wp:posOffset>
            </wp:positionV>
            <wp:extent cx="43180" cy="88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223" w:lineRule="exact"/>
        <w:rPr>
          <w:sz w:val="20"/>
          <w:szCs w:val="20"/>
          <w:color w:val="auto"/>
        </w:rPr>
      </w:pPr>
    </w:p>
    <w:p>
      <w:pPr>
        <w:ind w:firstLine="8"/>
        <w:spacing w:after="0" w:line="282" w:lineRule="auto"/>
        <w:tabs>
          <w:tab w:leader="none" w:pos="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streaming revenues reached US$388.5 million in the third quarter, including US$367.7 million from BIGO, up by 3.5% from the previous quarter, marking the second consecutive quarter of sequential growth.</w:t>
      </w:r>
    </w:p>
    <w:p>
      <w:pPr>
        <w:spacing w:after="0" w:line="161" w:lineRule="exact"/>
        <w:rPr>
          <w:rFonts w:ascii="Times New Roman" w:cs="Times New Roman" w:eastAsia="Times New Roman" w:hAnsi="Times New Roman"/>
          <w:sz w:val="18"/>
          <w:szCs w:val="18"/>
          <w:color w:val="auto"/>
        </w:rPr>
      </w:pPr>
    </w:p>
    <w:p>
      <w:pPr>
        <w:ind w:left="100" w:hanging="92"/>
        <w:spacing w:after="0"/>
        <w:tabs>
          <w:tab w:leader="none" w:pos="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streaming revenues grew by 7.6% quarter-over-quarter in Developed Countries and regions and by 4.4% in Southeast Asia and others.</w:t>
      </w:r>
    </w:p>
    <w:p>
      <w:pPr>
        <w:spacing w:after="0" w:line="228" w:lineRule="exact"/>
        <w:rPr>
          <w:rFonts w:ascii="Times New Roman" w:cs="Times New Roman" w:eastAsia="Times New Roman" w:hAnsi="Times New Roman"/>
          <w:sz w:val="18"/>
          <w:szCs w:val="18"/>
          <w:color w:val="auto"/>
        </w:rPr>
      </w:pPr>
    </w:p>
    <w:p>
      <w:pPr>
        <w:ind w:left="100" w:hanging="92"/>
        <w:spacing w:after="0"/>
        <w:tabs>
          <w:tab w:leader="none" w:pos="1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paying users of BIGO</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rose by 0.8% quarter-over-quarter to 1.50 million, while ARPPU</w:t>
      </w: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color w:val="auto"/>
        </w:rPr>
        <w:t xml:space="preserve"> increased by 3.4% quarter-over-quarter to US$222.6.</w:t>
      </w:r>
    </w:p>
    <w:p>
      <w:pPr>
        <w:spacing w:after="0" w:line="135" w:lineRule="exact"/>
        <w:rPr>
          <w:rFonts w:ascii="Times New Roman" w:cs="Times New Roman" w:eastAsia="Times New Roman" w:hAnsi="Times New Roman"/>
          <w:sz w:val="18"/>
          <w:szCs w:val="18"/>
          <w:color w:val="auto"/>
        </w:rPr>
      </w:pPr>
    </w:p>
    <w:p>
      <w:pPr>
        <w:jc w:val="both"/>
        <w:ind w:firstLine="8"/>
        <w:spacing w:after="0" w:line="258" w:lineRule="auto"/>
        <w:tabs>
          <w:tab w:leader="none" w:pos="12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implemented AI-powered improvements across content distribution and payment experiences. By incorporating richer user behavior touchpoints and optimizing strategies for cross-regional and in-app scenarios in Bigo Live, the Company enhanced viewing experiences and drove users' average viewing time up quarter-over-quarter. Meanwhile, the Company’s real-time translation subtitles now support 15 languages, significantly improving user interactions across different regions. The Company is also using AIGC technology to efficiently generate localized virtual gifts. In October, AI-powered interactive gifts represented 25% of total virtual gift consumption, demonstrating strong user adoption of AI-enhanced features.</w:t>
      </w:r>
    </w:p>
    <w:p>
      <w:pPr>
        <w:spacing w:after="0" w:line="19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Recent Development on Our New Initiatives- Advertising Technology</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-88900</wp:posOffset>
            </wp:positionV>
            <wp:extent cx="43180" cy="88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pacing w:after="0" w:line="223" w:lineRule="exact"/>
        <w:rPr>
          <w:sz w:val="20"/>
          <w:szCs w:val="20"/>
          <w:color w:val="auto"/>
        </w:rPr>
      </w:pPr>
    </w:p>
    <w:p>
      <w:pPr>
        <w:ind w:right="20" w:firstLine="8"/>
        <w:spacing w:after="0" w:line="282" w:lineRule="auto"/>
        <w:tabs>
          <w:tab w:leader="none" w:pos="1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2022, the Company ramped up efforts to diversify its revenue stream, cultivating its new initiatives in advertising technology and others. The Company has made steady progress advancing towards its strategic positioning as a global tech company powered by multiple growth engines.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non-live streaming revenues reached US$151.7 million in the third quarter, up by 27.3% year-over-year. In particular, revenues from BIGO Ads reached US$103.9 million in the third quarter, achieving 33.1% year-over-year and 19.7% quarter-over-quarter revenue growth.</w:t>
      </w:r>
    </w:p>
    <w:p>
      <w:pPr>
        <w:spacing w:after="0" w:line="162" w:lineRule="exact"/>
        <w:rPr>
          <w:sz w:val="20"/>
          <w:szCs w:val="20"/>
          <w:color w:val="auto"/>
        </w:rPr>
      </w:pPr>
    </w:p>
    <w:p>
      <w:pPr>
        <w:jc w:val="both"/>
        <w:ind w:firstLine="8"/>
        <w:spacing w:after="0" w:line="266" w:lineRule="auto"/>
        <w:tabs>
          <w:tab w:leader="none" w:pos="10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BIGO Ads is an AI-powered programmatic advertising platform. Launched to provide one-stop marketing and monetization solutions, it leverages deep learning, real-time bidding, and smart bidding models (such as oCPC and ROAS optimization) to enable brands to scale user acquisition and app developers to effectively unlock monetization potentials through connecting premium global demand.</w:t>
      </w:r>
    </w:p>
    <w:p>
      <w:pPr>
        <w:sectPr>
          <w:pgSz w:w="11900" w:h="16838" w:orient="portrait"/>
          <w:cols w:equalWidth="0" w:num="1">
            <w:col w:w="11240"/>
          </w:cols>
          <w:pgMar w:left="320" w:top="333" w:right="339" w:bottom="0" w:gutter="0" w:footer="0" w:header="0"/>
        </w:sectPr>
      </w:pPr>
    </w:p>
    <w:bookmarkStart w:id="4" w:name="page5"/>
    <w:bookmarkEnd w:id="4"/>
    <w:p>
      <w:pPr>
        <w:jc w:val="both"/>
        <w:ind w:firstLine="8"/>
        <w:spacing w:after="0" w:line="261" w:lineRule="auto"/>
        <w:tabs>
          <w:tab w:leader="none" w:pos="1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access to a vast traffic pool, comprising its own global average mobile MAU base of 266.2 million, and an extensively expanded network of third-party traffic by seamlessly integrating developer traffic across major channels. In recent quarters, the Company has significantly scaled its third-party Software Development Kit (SDK) network traffic through successful integrations with mediation platforms. The Company’s SDK advertising requests were up by 228% year-over-year and by 29% quarter-over-quarter.</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cross-channel and cross-industry user behavior and attrition data, the Company employs machine learning for predictive modeling, real-time-bidding and automated optimization. In the third quarter, the Company upgraded its IAA D7 ROAS optimization feature. The enhancement enables advertisers to acquire higher-quality users while maintaining strong return efficiency, allowing them to scale budgets with greater confidence.</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9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the average daily advertising revenue of BIGO Ads reached new height, driven by strong advertiser demand across multiple verticals, with number of key cohorts up by 17% quarter-over-quarter and total spending from key cohorts up by 30% quarter-over-quarter.</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Ms. Ting Li, Chairperson and Chief Executive Officer of JOYY, commented, “In the third quarter of 2025, we sustained a steady sequential recovery in our live streaming revenues while accelerating top-line growth in our advertising business. Our live streaming revenue was US$388.5 million, increasing by 3.5% quarter-over-quarter, marking our second consecutive quarter of sequential growth, while our non-live streaming revenue was US$151.7 million, increasing by 27.3% year-over-year. Our operating income increased from US$16.4 million to US$19.6 million while our non-GAAP EBITDA reached US$50.6 million, up 16.8% year-over-year, demonstrating our continued operational excellence. We maintained our commitment to shareholder returns, distributing US$147.9 million in cash dividends and repurchasing US$88.6 million worth of shares from January 1, 2025 to November 14,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made significant progress in advancing our dual growth engine strategy and strengthening synergies within our ecosystem. BIGO Ads achieved approximately 33.1% year-over-year and 19.7% quarter-over-quarter revenue growth, building remarkable momentum through traffic expansion, algorithm optimization and multi-vertical expansion. As we approach 2026, we are positioned for a resumption in year-over-year group-level revenue growth, with our live streaming business expected to return to a steady positive trajectory and our advertising technology and smart commerce SaaS businesses poised to deliver robust revenue growth. We are leveraging the powerful synergies of our integrated ecosystem to strengthen our position as a global technology company, and we remain dedicated to generating sustained long-term value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Third Quarter 2025 Financial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revenues were US$540.2 million in the third quarter of 2025, compared with US$558.7 million in the corresponding period of 2024, representing an increase of 6.4% from US$507.8 million in the second quarter of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Live streaming revenues were US$388.5 million in the third quarter of 2025, compared with US$439.5 million in the corresponding period of 2024, representing an increase of 3.5% from US$375.4 million in the second quarter of 2025. The year-over-year decrease was primarily due to proactive adjustments to the operational strategies and product features to enhance efficiency and compliance. The quarter-over-quarter increase was primarily driven by improved user spending sentiment through a more diversified content ecosystem and effective localized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Advertising revenues increased by 29.2% to US$112.5 million in the third quarter of 2025 from US$87.1 million in the corresponding period of 2024, and an increase of 17.1% from US$96.1 million in the second quarter of 2025. The year-over-year and quarter-over-quarter increases were due to strong performance of BIGO Ads, driven by expansion of traffic, geographic and vertical market diversification, and enhanced algorithm performance that resulted in improved advertisement delivery efficiency and higher advertiser spending.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revenues increased by 22.3% to US$39.2 million in the third quarter of 2025 from US$32.1 million in the corresponding period of 2024, and by 8.3% from US$36.2 million in the second quarter of 2025, mainly driven by the continued steady growth of the Company’s smart commerce SaaS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revenues was US$347.1 million in the third quarter of 2025, compared with US$350.5 million in the corresponding period of 2024 and US$322.5 million in the second quarter of 2025. BIGO’s cost of revenues decreased by 1.4% year-over-year to US$308.1 million, and increased by 7.9% from US$285.6 million in the second quarter of 2025. The quarter-over-quarter sequential change was primarily attributable to a US$19.2 million increase in revenue-sharing fees and content costs, resulting from higher traffic acquisition costs paid to third-party partners in relation to the expansion of the Company’s advertising business. All others’ cost of revenues increased by 2.6% year-over-year to US$39.1 million, and by 5.7% from the second quarter of 2025, generally in line with the increase in segment revenue.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US$193.1 million in the third quarter of 2025, compared with US$208.1 million in the corresponding period of 2024 and US$185.2 million in the second quarter of 2025. Gross margin was 35.8% in the third quarter of 2025, compared with 37.3% in the corresponding period of 2024 and 36.5% in the second quarter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 AND INCOME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expenses were US$174.2 million in the third quarter of 2025, compared with US$192.0 million in the same period of 2024 and US$179.8 million in the second quarter of 2025. Among the operating expenses, sales and marketing expenses were US$72.1 million, compared with US$83.5 million in the corresponding period of 2024 and US$71.9 million in the second quarter of 2025, as the Company continued to optimize sales and marketing strategies across various social products, with a stronger focus on return-on-investment and user acquisition efficiency. Research and development expenses were US$63.1 million, compared with US$72.4 million in the corresponding period of 2024 and US$60.1 million in the second quarter of 2025. The year-over-year decrease was mainly attributable to a US$8.2 million decrease in employee compensation and welfare expenses and a US$0.5 million decrease in share-based compensation expenses. This reflects continued prudence and discipline in spending through enhanced resources sharing and operational synergy across different business units, while strategically allocating incremental share of research and development resources towards BIGO Ads. General and administrative expenses were US$39.1 million, compared with US$36.1 million in the corresponding period of 2024 and US$47.9 million in the second quarter of 2025. The quarter-over-quarter decrease was mainly attributable to the US$15.0 million impairment of investments recorded in the previous quarter.</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income was US$19.6 million in the third quarter of 2025, representing an increase of 19.1% from US$16.4 million in the corresponding period of 2024 and an increase of 237.3% from US$5.8 million in the second quarter of 2025.</w:t>
      </w:r>
    </w:p>
    <w:p>
      <w:pPr>
        <w:spacing w:after="0" w:line="165"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color w:val="auto"/>
        </w:rPr>
        <w:t>Non-GAAP operating income</w:t>
      </w: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xml:space="preserve"> was US$40.7 million in the third quarter of 2025, representing an increase of 16.6% from US$34.9 million in the corresponding period of 2024 and an increase of 6.1% from US$38.3 million in the second quarter of 2025. Non-GAAP operating income margin</w:t>
      </w:r>
      <w:r>
        <w:rPr>
          <w:rFonts w:ascii="Times New Roman" w:cs="Times New Roman" w:eastAsia="Times New Roman" w:hAnsi="Times New Roman"/>
          <w:sz w:val="29"/>
          <w:szCs w:val="29"/>
          <w:color w:val="auto"/>
          <w:vertAlign w:val="superscript"/>
        </w:rPr>
        <w:t>11</w:t>
      </w:r>
      <w:r>
        <w:rPr>
          <w:rFonts w:ascii="Times New Roman" w:cs="Times New Roman" w:eastAsia="Times New Roman" w:hAnsi="Times New Roman"/>
          <w:sz w:val="18"/>
          <w:szCs w:val="18"/>
          <w:color w:val="auto"/>
        </w:rPr>
        <w:t xml:space="preserve"> was 7.5% in the third quarter of 2025, compared with 6.2% in the corresponding period of 2024 and 7.5% in the second quarter of 2025.</w:t>
      </w:r>
    </w:p>
    <w:p>
      <w:pPr>
        <w:spacing w:after="0" w:line="19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Non-GAAP EBITDA was US$50.6 million, compared with US$43.3 million in the corresponding period of 2024 and US$48.2 million in the second quarter of 2025. Non-GAAP EBITDA margin</w:t>
      </w:r>
      <w:r>
        <w:rPr>
          <w:rFonts w:ascii="Times New Roman" w:cs="Times New Roman" w:eastAsia="Times New Roman" w:hAnsi="Times New Roman"/>
          <w:sz w:val="29"/>
          <w:szCs w:val="29"/>
          <w:color w:val="auto"/>
          <w:vertAlign w:val="superscript"/>
        </w:rPr>
        <w:t>12</w:t>
      </w:r>
      <w:r>
        <w:rPr>
          <w:rFonts w:ascii="Times New Roman" w:cs="Times New Roman" w:eastAsia="Times New Roman" w:hAnsi="Times New Roman"/>
          <w:sz w:val="18"/>
          <w:szCs w:val="18"/>
          <w:color w:val="auto"/>
        </w:rPr>
        <w:t xml:space="preserve"> was 9.4%, compared with 7.7% in the corresponding period of 2024 and 9.5% in the second quarter of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from continuing operations attributable to controlling interest of JOYY was US$62.0 million, representing an increase of 2.3% from US$60.6 million in the corresponding period of 2024 and an increase of 1.9% from US$60.8 million in the second quarter of 2025. Net income margin was 11.5% in the third quarter of 2025, compared with net income margin of 10.8% in the corresponding period of 2024 and 12.0% in the second quarter of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Non-GAAP net income from continuing operations attributable to controlling interest and common shareholders of JOYY was US$72.4 million, representing an increase of 18.4% from US$61.2 million in the corresponding period of 2024, compared with US$77.0 million in the second quarter of</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2025. Non-GAAP net income margin</w:t>
      </w:r>
      <w:r>
        <w:rPr>
          <w:rFonts w:ascii="Times New Roman" w:cs="Times New Roman" w:eastAsia="Times New Roman" w:hAnsi="Times New Roman"/>
          <w:sz w:val="29"/>
          <w:szCs w:val="29"/>
          <w:color w:val="auto"/>
          <w:vertAlign w:val="superscript"/>
        </w:rPr>
        <w:t>13</w:t>
      </w:r>
      <w:r>
        <w:rPr>
          <w:rFonts w:ascii="Times New Roman" w:cs="Times New Roman" w:eastAsia="Times New Roman" w:hAnsi="Times New Roman"/>
          <w:sz w:val="18"/>
          <w:szCs w:val="18"/>
          <w:color w:val="auto"/>
        </w:rPr>
        <w:t xml:space="preserve"> was 13.4% in the third quarter of 2025, compared with non-GAAP net income margin of 10.9% in the corresponding period of 2024 and 15.2% in the second quarter of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PER ADS</w:t>
      </w:r>
    </w:p>
    <w:p>
      <w:pPr>
        <w:sectPr>
          <w:pgSz w:w="11900" w:h="16838" w:orient="portrait"/>
          <w:cols w:equalWidth="0" w:num="1">
            <w:col w:w="11240"/>
          </w:cols>
          <w:pgMar w:left="320" w:top="900" w:right="339" w:bottom="100" w:gutter="0" w:footer="0" w:header="0"/>
        </w:sectPr>
      </w:pPr>
    </w:p>
    <w:bookmarkStart w:id="6" w:name="page7"/>
    <w:bookmarkEnd w:id="6"/>
    <w:p>
      <w:pPr>
        <w:spacing w:after="0" w:line="216" w:lineRule="auto"/>
        <w:rPr>
          <w:sz w:val="20"/>
          <w:szCs w:val="20"/>
          <w:color w:val="auto"/>
        </w:rPr>
      </w:pPr>
      <w:r>
        <w:rPr>
          <w:rFonts w:ascii="Times New Roman" w:cs="Times New Roman" w:eastAsia="Times New Roman" w:hAnsi="Times New Roman"/>
          <w:sz w:val="18"/>
          <w:szCs w:val="18"/>
          <w:color w:val="auto"/>
        </w:rPr>
        <w:t>Diluted net income from continuing operations per ADS</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was US$1.15 in the third quarter of 2025, compared with US$1.05 in the corresponding period of 2024 and US$1.13 in in the second quarter of 2025.</w:t>
      </w:r>
    </w:p>
    <w:p>
      <w:pPr>
        <w:spacing w:after="0" w:line="202"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18"/>
          <w:szCs w:val="18"/>
          <w:color w:val="auto"/>
        </w:rPr>
        <w:t>Non-GAAP diluted net income from continuing operations per ADS</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was US$1.36 in the third quarter of 2025, compared with US$1.07 in the corresponding period of 2024 and US$1.44 in the second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AND CASH FLOWS</w:t>
      </w:r>
    </w:p>
    <w:p>
      <w:pPr>
        <w:spacing w:after="0" w:line="233"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As of September 30, 2025, the Company had net cash</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xml:space="preserve"> of US$3,320.9 million, compared with US$3,275.9 million as of December 31, 2024. For the third quarter of 2025, net cash from operating activities was US$73.4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OUTSTANDING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a total of 1,019.6 million common shares outstanding, representing the equivalent of 51.0 million ADSs assuming the conversion of all common shares into ADSs.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fourth quarter of 2025, the Company expects net revenues to be between US$563 million and US$578 million. This forecast reflects the Company’s current and preliminary views on the market, operational conditions and business strategies, which are subject to changes, particularly as to the potential impact from macroeconomic uncertainties.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Company's share repurchase program authorized in March 2025, which is effective till the end of 2027, the Company had repurchased approximately 1.34 million ADSs for an aggregate consideration of US$67.3 million on the open market as of September 30,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September 30 and November 14, 2025, the Company repurchased an additional approximately 0.36 million ADSs, bringing total repurchases to approximately 1.70 million ADSs for an aggregate consideration of US$88.6 million in 2025. The remaining unutilized amount under the authorized share repurchase program was approximately US$211.4 million as of the date of this announcement.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Dividend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19, 2025, the board of directors authorized a quarterly dividend program from 2025 to 2027, under which a total of approximately US$600 million in cash will be distributed on a quarterly basis over the three-year period. Pursuant to this quarterly dividend program, the board of directors has accordingly declared a dividend of US$0.97 per ADS, or US$0.0483 per common share, for the fourth quarter of 2025, which is expected to be paid on January 13, 2026 to shareholders of record as of the close of business on January 2, 2026. The ex-dividend date will be January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hold a conference call at 9:00 PM U.S. Eastern Time on Wednesday, November 19, 2025 (10:00 AM Singapore/Hong Kong Time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Thursday, November 20, 2025). Details for the conference call are as follows: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Title: JOYY Inc. Third Quarter 2025 Earnings Conference Call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ID: # 10051480</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participants may use the link provided below to complete the online registration process in advance of the conference call. Upon registration, each participant will receive a set of participant dial-in numbers, the Direct Event passcode, and a unique PIN by email.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PRE-REGISTER LINK: </w:t>
      </w:r>
      <w:r>
        <w:rPr>
          <w:rFonts w:ascii="Times New Roman" w:cs="Times New Roman" w:eastAsia="Times New Roman" w:hAnsi="Times New Roman"/>
          <w:sz w:val="18"/>
          <w:szCs w:val="18"/>
          <w:b w:val="1"/>
          <w:bCs w:val="1"/>
          <w:u w:val="single" w:color="auto"/>
          <w:color w:val="auto"/>
        </w:rPr>
        <w:t>https://s1.c-conf.com/diamondpass/10051480-8u6d2a.html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also be available at the Company's investor relations website at https://ir.joyy.com.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November 28, 2025,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30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1-855-883-1031</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23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800-101-3223</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23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800-930-639</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23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#10051480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JOYY Inc.</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JOYY (NASDAQ: JOYY) is a leading global technology company with a mission to enrich lives through technology. With a diversified product portfolio spanning live streaming, short-form videos, instant messaging, and emerging initiatives such as advertising and smart commerce SaaS, JOYY has transformed into a dynamic ecosystem powered by AI and data intelligence. Headquartered in Singapore and operating across the globe, JOYY empowers creators, merchants and enterprises worldwide. JOYY’s ADSs have been listed on the NASDAQ since November 2012.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press release, as well as JOYY’s strategic and operational plans, contain forward-looking statements. JOYY may also make written or oral forward-looking statements in its periodic reports to the U.S. Securities and Exchange Commission (“SEC”), in its annual report to shareholders, in press releases and other written materials and in oral statements made by its officers, directors or employees to third parties. Statements that are not historical facts, including statements about JOYY’s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JOYY’s goals and strategies; JOYY’s future business development, results of operations and financial condition; the expected growth of the global online social entertainment and advertising market; JOYY’s ability to attract and retain users and advertisers; JOYY’s expectations regarding demand for and market acceptances of its products and services; JOYY’s ability to adopt the latest technology to enhance its operations; fluctuations in global economic and business conditions; and assumptions underlying or related to any of the foregoing. A more detailed and full discussion of those risks and other potential risks is included in JOYY’s filings with the SEC. All information provided in this press release and in the attachments is as of the date of this press release, and JOYY does not undertake any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unaudited condensed consolidated financial information is prepared in conformity with accounting principles generally accepted in the United States of America (“U.S. GAAP”). JOYY uses non-GAAP operating (loss) income, non-GAAP operating income (loss) margin, non-GAAP EBITDA, non-GAAP EBITDA margin, non-GAAP net income (loss) from continuing operations attributable to controlling interest of JOYY, non-GAAP net income (loss) margin attributable to controlling interest of JOYY, non-GAAP net income (loss) from continuing operations attributable to common shareholders of JOYY, and basic and diluted non-GAAP net income (loss) per ADS, all of which are non-GAAP financial measures adjusted from the most comparable U.S. GAAP results. Non-GAAP operating income (loss) is operating income (loss) excluding share-based compensation expenses, impairment of goodwill and investments, amortization of intangible assets from business acquisitions, and gain (loss) on deconsolidation and disposal of subsidiaries and business. Non-GAAP operating income (loss) margin is non-GAAP operating income as a percentage of net revenues. Non-GAAP net income (loss) from continuing operations is net income (loss) from continuing operations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(referring to share of income (loss) from equity method investments resulting from non-recurring or non-cash items of the equity method investments), gain (loss) on extinguishment of debt and derivative, interest expenses related to the convertible bonds’ amortization to face value, and income tax effects of the above non-GAAP reconciling items. Non-GAAP EBITDA is non-GAAP operating income (loss) added back depreciation and amortization (other than amortization of intangible assets resulting from assets and business acquisitions), and non-GAAP EBITDA margin is non-GAAP EBITDA as a percentage of net revenues. Non-GAAP net income (loss) from continuing operations attributable to controlling interest of JOYY is net income (loss) from continuing operations attributable to controlling interest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gain (loss) on extinguishment of debt and derivative, interest expenses related to the convertible bonds’ amortization to face value, income tax effects of the above non-GAAP reconciling items and adjustments for non-GAAP reconciling items for the net (loss) income from continuing operations attributable to non-controlling interest shareholders. Non-GAAP net income (loss) margin is non-GAAP net income (loss) from continuing operations attributable to controlling interest of JOYY as a percentage of net revenues. Non-GAAP net income (loss) from continuing operations attributable to common shareholders of JOYY is net income (loss) from continuing operations attributable to common shareholders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gain (loss) on extinguishment of debt and derivative, interest expenses related to the convertible bonds’ amortization to face value, accretion, cumulative dividend and deemed dividend to subsidiaries’ preferred shareholders, gain on repurchase of redeemable convertible preferred shares of a subsidiary and income tax effects of above non-GAAP reconciling items and adjustments for non-GAAP reconciling items for the net income (loss) from continuing operations attributable to non-controlling interest shareholders. After the non-GAAP adjustment, non-GAAP net income (loss) from continuing operations attributable to controlling interests of JOYY is equal to the non-GAAP net income (loss) from continuing operations attributable to common shareholders of JOYY. Basic and diluted non-GAAP net income (loss) from continuing operations per ADS is non-GAAP net income (loss) from continuing operations attributable to common shareholders of JOYY divided by weighted average number of ADS used in the calculation of basic and diluted net income per ADS. The Company believes that separate analysis and exclusion of the non-cash impact of above reconciling items adds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 is useful supplemental information for investors and analysts to assess its operating performance without the non-cash effect of (i) share-based compensation expenses, amortization of intangible assets from business acquisitions, gain (loss) on extinguishment of debt and derivative, and interest expenses related to the convertible bonds’ amortization to face value, which have been and will continue to be significant recurring expenses in its business, (ii) impairment of goodwill and investments, gain (loss) on deconsolidation and disposal of subsidiaries and business, gain (loss) on disposal and deemed disposal of investments, gain (loss) on fair value change of investments, reconciling items on the share of equity method investments, accretion, cumulative dividend and deemed dividend to subsidiaries’ preferred shareholders and gain on repurchase of redeemable convertible preferred shares of a subsidiary which may not be recurring in its business, and (iii) income tax expenses and non-GAAP adjustments for net income (loss) from continuing operations attributable to non-controlling interest shareholders, which are affected by the above non-GAAP reconciling items. However, the use of non-GAAP financial measures has material limitations as an analytical tool. One of the limitations of using non-GAAP financial measures is that they do not include all items that impact the Company’s net income (loss)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The presentation of these non-GAAP financial measures is not intended to be considered in isolation from, or as a substitute for, the financial information prepared and presented in accordance with U.S. GAAP. For more information on these non-GAAP financial measures, please see the table captioned “JOYY Inc. Unaudited Reconciliation of GAAP and Non-GAAP Results” near the end of this press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joyy-ir@joyy.com</w:t>
      </w:r>
    </w:p>
    <w:p>
      <w:pPr>
        <w:spacing w:after="0" w:line="21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The financial information and non-GAAP financial information disclosed in this press release is presented on a continuing operations basis, unless otherwise specifically stated. For the avoidance of confusion, the continuing operations for the three months ended September 30, 2024, June 30, 2025 and September 30, 2025 and for the nine months ended September 30, 2024 and September 30, 2025, as presented in this press release, primarily consisted of BIGO segment (primarily including Bigo Live, Likee and imo) and the All other segment.</w:t>
      </w:r>
    </w:p>
    <w:p>
      <w:pPr>
        <w:spacing w:after="0" w:line="20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The Company is presenting advertising revenues as a separate line item in the financial statements in this quarter, to better reflect the performance of its emerging advertising business.</w:t>
      </w:r>
    </w:p>
    <w:p>
      <w:pPr>
        <w:spacing w:after="0" w:line="239" w:lineRule="exact"/>
        <w:rPr>
          <w:sz w:val="20"/>
          <w:szCs w:val="20"/>
          <w:color w:val="auto"/>
        </w:rPr>
      </w:pPr>
    </w:p>
    <w:p>
      <w:pPr>
        <w:jc w:val="both"/>
        <w:ind w:firstLine="8"/>
        <w:spacing w:after="0" w:line="219" w:lineRule="auto"/>
        <w:tabs>
          <w:tab w:leader="none" w:pos="167"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EBITDA is a non-GAAP financial measure, which is defined as non-GAAP operating income (loss) added back depreciation and amortization (other than amortization of intangible assets resulting from assets and business acquisitions). Please refer to the section titled “Use of Non-GAAP Financial Measures” and the table captioned “JOYY Inc. Unaudited Reconciliation of GAAP and Non-GAAP Results” near the end of this press release for details.</w:t>
      </w:r>
    </w:p>
    <w:p>
      <w:pPr>
        <w:spacing w:after="0" w:line="239" w:lineRule="exact"/>
        <w:rPr>
          <w:sz w:val="20"/>
          <w:szCs w:val="20"/>
          <w:color w:val="auto"/>
        </w:rPr>
      </w:pPr>
    </w:p>
    <w:p>
      <w:pPr>
        <w:jc w:val="both"/>
        <w:ind w:right="20" w:firstLine="8"/>
        <w:spacing w:after="0" w:line="210" w:lineRule="auto"/>
        <w:tabs>
          <w:tab w:leader="none" w:pos="112"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income (loss) from continuing operations attributable to controlling interest of JOYY is net income (loss) from continuing operations less net (loss) income from continuing operations attributable to the non-controlling interest shareholders and the mezzanine equity classified non-controlling interest shareholders.</w:t>
      </w:r>
    </w:p>
    <w:p>
      <w:pPr>
        <w:spacing w:after="0" w:line="20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Non-GAAP net income (loss) from continuing operations attributable to controlling interest of JOYY is a non-GAAP financial measure, which is defined as net income (loss) from continuing operations attributable to controlling interest of JOYY excluding share-based compensation expenses, impairment of goodwill and investments, amortization of intangible assets from business acquisitions, gain (loss) on deconsolidation and disposal of subsidiaries and business, gain (loss) on disposal and deemed disposal of investments, gain (loss) on fair value change of investments, reconciling items on the share of equity method investments which refer to those similar non-GAAP reconciling items of the Company, gain (loss) on extinguishment of debt and derivative, interest expenses related to the convertible bonds amortization to face value, income tax effects of the above non-GAAP reconciling items and adjustments for non-GAAP reconciling items for net (loss) income attributable to non-controlling interest shareholders. These adjustments amounted to US$10.5 million and US$0.6 million in the third quarter of 2025 and 2024, respectively. Please refer to the section titled “Use of Non-GAAP Financial Measures” and the table captioned “JOYY Inc. Unaudited Reconciliation of GAAP and Non-GAAP Results” near the end of this press release for details.</w:t>
      </w:r>
    </w:p>
    <w:p>
      <w:pPr>
        <w:spacing w:after="0" w:line="240" w:lineRule="exact"/>
        <w:rPr>
          <w:sz w:val="20"/>
          <w:szCs w:val="20"/>
          <w:color w:val="auto"/>
        </w:rPr>
      </w:pPr>
    </w:p>
    <w:p>
      <w:pPr>
        <w:ind w:firstLine="8"/>
        <w:spacing w:after="0" w:line="195" w:lineRule="auto"/>
        <w:tabs>
          <w:tab w:leader="none" w:pos="112"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cash is calculated as the sum of cash and cash equivalents, restricted cash and cash equivalents, short-term deposits, restricted short-term deposits, short-term investments, long-term deposits and held-to-maturity investments, less short-term and long-term loans.</w:t>
      </w:r>
    </w:p>
    <w:p>
      <w:pPr>
        <w:spacing w:after="0" w:line="20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Refers to average mobile monthly active users of the social entertainment platforms operated by the Company, including Bigo Live, Likee, imo and Hago. Average mobile MAU for any period is calculated by dividing (i) the sum of the Company’s mobile active users for each month of such period, by (ii) the number of months in such period.</w:t>
      </w:r>
    </w:p>
    <w:p>
      <w:pPr>
        <w:spacing w:after="0" w:line="241" w:lineRule="exact"/>
        <w:rPr>
          <w:sz w:val="20"/>
          <w:szCs w:val="20"/>
          <w:color w:val="auto"/>
        </w:rPr>
      </w:pPr>
    </w:p>
    <w:p>
      <w:pPr>
        <w:ind w:firstLine="8"/>
        <w:spacing w:after="0" w:line="195" w:lineRule="auto"/>
        <w:tabs>
          <w:tab w:leader="none" w:pos="112"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number of paying users during a given period is calculated as the cumulative number of registered user accounts that have purchased virtual items or other products and services on Bigo Live, Likee or imo at least once during the relevant period.</w:t>
      </w:r>
    </w:p>
    <w:p>
      <w:pPr>
        <w:spacing w:after="0" w:line="203" w:lineRule="exact"/>
        <w:rPr>
          <w:sz w:val="20"/>
          <w:szCs w:val="20"/>
          <w:color w:val="auto"/>
        </w:rPr>
      </w:pPr>
    </w:p>
    <w:p>
      <w:pPr>
        <w:spacing w:after="0" w:line="216" w:lineRule="auto"/>
        <w:rPr>
          <w:sz w:val="20"/>
          <w:szCs w:val="20"/>
          <w:color w:val="auto"/>
        </w:rPr>
      </w:pPr>
      <w:r>
        <w:rPr>
          <w:rFonts w:ascii="Times New Roman" w:cs="Times New Roman" w:eastAsia="Times New Roman" w:hAnsi="Times New Roman"/>
          <w:sz w:val="29"/>
          <w:szCs w:val="29"/>
          <w:color w:val="auto"/>
          <w:vertAlign w:val="superscript"/>
        </w:rPr>
        <w:t>9 </w:t>
      </w:r>
      <w:r>
        <w:rPr>
          <w:rFonts w:ascii="Times New Roman" w:cs="Times New Roman" w:eastAsia="Times New Roman" w:hAnsi="Times New Roman"/>
          <w:sz w:val="18"/>
          <w:szCs w:val="18"/>
          <w:color w:val="auto"/>
        </w:rPr>
        <w:t>Average revenue per user is calculated by dividing the Company’s total revenues from live streaming on Bigo Live, Likee and imo during a given period by the number of paying users for the Company’s live streaming services on these platforms for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both"/>
        <w:spacing w:after="0" w:line="231" w:lineRule="auto"/>
        <w:rPr>
          <w:sz w:val="20"/>
          <w:szCs w:val="20"/>
          <w:color w:val="auto"/>
        </w:rPr>
      </w:pPr>
      <w:r>
        <w:rPr>
          <w:rFonts w:ascii="Times New Roman" w:cs="Times New Roman" w:eastAsia="Times New Roman" w:hAnsi="Times New Roman"/>
          <w:sz w:val="29"/>
          <w:szCs w:val="29"/>
          <w:color w:val="auto"/>
          <w:vertAlign w:val="superscript"/>
        </w:rPr>
        <w:t>10</w:t>
      </w:r>
      <w:r>
        <w:rPr>
          <w:rFonts w:ascii="Times New Roman" w:cs="Times New Roman" w:eastAsia="Times New Roman" w:hAnsi="Times New Roman"/>
          <w:sz w:val="18"/>
          <w:szCs w:val="18"/>
          <w:color w:val="auto"/>
        </w:rPr>
        <w:t> Non-GAAP operating income (loss) is a non-GAAP financial measure, which is defined as operating income (loss) excluding share-based compensation expenses, amortization of intangible assets from business acquisitions, impairment of goodwill and investments and gain (loss) on deconsolidation and disposal of subsidiaries and business. Please refer to the section titled “Use of Non-GAAP Financial Measures” and the table captioned “JOYY Inc. Unaudited Reconciliation of GAAP and Non-GAAP Results” near the end of this press release for details.</w:t>
      </w:r>
    </w:p>
    <w:p>
      <w:pPr>
        <w:spacing w:after="0" w:line="239" w:lineRule="exact"/>
        <w:rPr>
          <w:sz w:val="20"/>
          <w:szCs w:val="20"/>
          <w:color w:val="auto"/>
        </w:rPr>
      </w:pPr>
    </w:p>
    <w:p>
      <w:pPr>
        <w:jc w:val="both"/>
        <w:ind w:firstLine="8"/>
        <w:spacing w:after="0" w:line="239" w:lineRule="auto"/>
        <w:tabs>
          <w:tab w:leader="none" w:pos="182"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Non-GAAP operating income (loss) margin is a non-GAAP financial measure, which is defined as non-GAAP operating income (loss) as a percentage of net revenues. Please refer to the section titled “Use of Non-GAAP Financial Measures” and the table captioned “JOYY Inc. Unaudited Reconciliation of GAAP and Non-GAAP Results” near the end of this press release for details.</w:t>
      </w:r>
    </w:p>
    <w:p>
      <w:pPr>
        <w:spacing w:after="0" w:line="240" w:lineRule="exact"/>
        <w:rPr>
          <w:rFonts w:ascii="Times New Roman" w:cs="Times New Roman" w:eastAsia="Times New Roman" w:hAnsi="Times New Roman"/>
          <w:sz w:val="26"/>
          <w:szCs w:val="26"/>
          <w:color w:val="auto"/>
          <w:vertAlign w:val="superscript"/>
        </w:rPr>
      </w:pPr>
    </w:p>
    <w:p>
      <w:pPr>
        <w:jc w:val="both"/>
        <w:ind w:firstLine="8"/>
        <w:spacing w:after="0" w:line="239" w:lineRule="auto"/>
        <w:tabs>
          <w:tab w:leader="none" w:pos="187"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Non-GAAP EBITDA margin is a non-GAAP financial measure, which is defined as non-GAAP EBITDA as a percentage of net revenues. Please refer to the section titled “Use of Non-GAAP Financial Measures” and the table captioned “JOYY Inc. Unaudited Reconciliation of GAAP and Non-GAAP Results” near the end of this press release for details.</w:t>
      </w:r>
    </w:p>
    <w:p>
      <w:pPr>
        <w:spacing w:after="0" w:line="240" w:lineRule="exact"/>
        <w:rPr>
          <w:rFonts w:ascii="Times New Roman" w:cs="Times New Roman" w:eastAsia="Times New Roman" w:hAnsi="Times New Roman"/>
          <w:sz w:val="26"/>
          <w:szCs w:val="26"/>
          <w:color w:val="auto"/>
          <w:vertAlign w:val="superscript"/>
        </w:rPr>
      </w:pPr>
    </w:p>
    <w:p>
      <w:pPr>
        <w:ind w:firstLine="8"/>
        <w:spacing w:after="0" w:line="204" w:lineRule="auto"/>
        <w:tabs>
          <w:tab w:leader="none" w:pos="203"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Non-GAAP net income (loss) margin is non-GAAP net income from continuing operations attributable to controlling interest of JOYY as a percentage of net revenues.</w:t>
      </w:r>
    </w:p>
    <w:p>
      <w:pPr>
        <w:spacing w:after="0" w:line="238" w:lineRule="exact"/>
        <w:rPr>
          <w:rFonts w:ascii="Times New Roman" w:cs="Times New Roman" w:eastAsia="Times New Roman" w:hAnsi="Times New Roman"/>
          <w:sz w:val="29"/>
          <w:szCs w:val="29"/>
          <w:color w:val="auto"/>
          <w:vertAlign w:val="superscript"/>
        </w:rPr>
      </w:pPr>
    </w:p>
    <w:p>
      <w:pPr>
        <w:ind w:firstLine="8"/>
        <w:spacing w:after="0" w:line="223" w:lineRule="auto"/>
        <w:tabs>
          <w:tab w:leader="none" w:pos="187"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ADS refers to American Depositary Share. Each ADS represents twenty Class A common shares of the Company. Diluted net income (loss) per ADS is net income (loss) attributable to common shareholders of JOYY divided by weighted average number of diluted ADS.</w:t>
      </w:r>
    </w:p>
    <w:p>
      <w:pPr>
        <w:spacing w:after="0" w:line="239" w:lineRule="exact"/>
        <w:rPr>
          <w:rFonts w:ascii="Times New Roman" w:cs="Times New Roman" w:eastAsia="Times New Roman" w:hAnsi="Times New Roman"/>
          <w:sz w:val="26"/>
          <w:szCs w:val="26"/>
          <w:color w:val="auto"/>
          <w:vertAlign w:val="superscript"/>
        </w:rPr>
      </w:pPr>
    </w:p>
    <w:p>
      <w:pPr>
        <w:jc w:val="both"/>
        <w:ind w:firstLine="8"/>
        <w:spacing w:after="0" w:line="251" w:lineRule="auto"/>
        <w:tabs>
          <w:tab w:leader="none" w:pos="187" w:val="left"/>
        </w:tabs>
        <w:numPr>
          <w:ilvl w:val="0"/>
          <w:numId w:val="1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Non-GAAP diluted net income (loss) from continuing operations per ADS is a non-GAAP financial measure, which is defined as non-GAAP net income (loss) from continuing operations attributable to common shareholders of JOYY divided by weighted average number of ADS used in the calculation of diluted net income (loss) per ADS. Please refer to the section titled “Use of Non-GAAP Financial Measures” and the table captioned “JOYY Inc. Unaudited Reconciliation of GAAP and Non-GAAP Results” near the end of this press release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84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84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444,761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383,826</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371,332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24,255</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1,061,011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304,532</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short-term deposits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20,722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18,597</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288,589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563,058</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121,861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143,753</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r>
      <w:tr>
        <w:trPr>
          <w:trHeight w:val="257"/>
        </w:trPr>
        <w:tc>
          <w:tcPr>
            <w:tcW w:w="84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Prepayments and other current assets</w:t>
            </w:r>
            <w:r>
              <w:rPr>
                <w:rFonts w:ascii="Times New Roman" w:cs="Times New Roman" w:eastAsia="Times New Roman" w:hAnsi="Times New Roman"/>
                <w:sz w:val="29"/>
                <w:szCs w:val="29"/>
                <w:color w:val="auto"/>
                <w:vertAlign w:val="superscript"/>
              </w:rPr>
              <w:t>(1)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247,538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227,777</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7,007</w:t>
            </w:r>
          </w:p>
        </w:tc>
      </w:tr>
      <w:tr>
        <w:trPr>
          <w:trHeight w:val="210"/>
        </w:trPr>
        <w:tc>
          <w:tcPr>
            <w:tcW w:w="84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2,556,281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1,672,925</w:t>
            </w:r>
          </w:p>
        </w:tc>
      </w:tr>
      <w:tr>
        <w:trPr>
          <w:trHeight w:val="209"/>
        </w:trPr>
        <w:tc>
          <w:tcPr>
            <w:tcW w:w="84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deposits and held-to-maturity investments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1,124,308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2,043,571</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2,278</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530,685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537,710</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499,723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534,556</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 use rights, net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303,115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300,230</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277,257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235,650</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 net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20,457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17,550</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2,194,324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2,194,341</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19,084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9,319</w:t>
            </w:r>
          </w:p>
        </w:tc>
      </w:tr>
      <w:tr>
        <w:trPr>
          <w:trHeight w:val="210"/>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4,971,516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5,875,205</w:t>
            </w:r>
          </w:p>
        </w:tc>
      </w:tr>
      <w:tr>
        <w:trPr>
          <w:trHeight w:val="210"/>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97"/>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7,527,797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7,548,130</w:t>
            </w:r>
          </w:p>
        </w:tc>
      </w:tr>
      <w:tr>
        <w:trPr>
          <w:trHeight w:val="196"/>
        </w:trPr>
        <w:tc>
          <w:tcPr>
            <w:tcW w:w="84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mezzanine equity and shareholders’ equity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loans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34,853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16,900</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84,015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76,541</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66,813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62,008</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from customers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7,055</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78,304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56,866</w:t>
            </w:r>
          </w:p>
        </w:tc>
      </w:tr>
      <w:tr>
        <w:trPr>
          <w:trHeight w:val="257"/>
        </w:trPr>
        <w:tc>
          <w:tcPr>
            <w:tcW w:w="844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Accrued liabilities and other current liabilities</w:t>
            </w:r>
            <w:r>
              <w:rPr>
                <w:rFonts w:ascii="Times New Roman" w:cs="Times New Roman" w:eastAsia="Times New Roman" w:hAnsi="Times New Roman"/>
                <w:sz w:val="29"/>
                <w:szCs w:val="29"/>
                <w:color w:val="auto"/>
                <w:vertAlign w:val="superscript"/>
              </w:rPr>
              <w:t>(1)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2,393,923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575,525</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24,186</w:t>
            </w: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 due within one year</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10,775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8,675</w:t>
            </w:r>
          </w:p>
        </w:tc>
      </w:tr>
      <w:tr>
        <w:trPr>
          <w:trHeight w:val="210"/>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2,674,092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827,756</w:t>
            </w:r>
          </w:p>
        </w:tc>
      </w:tr>
      <w:tr>
        <w:trPr>
          <w:trHeight w:val="209"/>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9,948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9,111</w:t>
            </w: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12,635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9,665</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47,631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51,802</w:t>
            </w:r>
          </w:p>
        </w:tc>
      </w:tr>
      <w:tr>
        <w:trPr>
          <w:trHeight w:val="210"/>
        </w:trPr>
        <w:tc>
          <w:tcPr>
            <w:tcW w:w="84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70,214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70,578</w:t>
            </w:r>
          </w:p>
        </w:tc>
      </w:tr>
      <w:tr>
        <w:trPr>
          <w:trHeight w:val="210"/>
        </w:trPr>
        <w:tc>
          <w:tcPr>
            <w:tcW w:w="84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2,744,306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898,334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84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4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gridSpan w:val="2"/>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23,733</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24,933</w:t>
            </w: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common shares (US$0.00001 par value; 10,000,000,000 and 10,000,000,000 shares authorized,</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1,317,840,464 shares issued and 714,663,197 shares outstanding as of December 31, 2024; 1,306,734,444</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issued and 693,061,124 shares outstanding as of September 30, 2025, respectively)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198"/>
        </w:trPr>
        <w:tc>
          <w:tcPr>
            <w:tcW w:w="8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common shares (US$0.00001 par value; 1,000,000,000 and 1,000,000,000 shares authorized,</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326,509,555 and 326,509,555 shares issued and outstanding as of December 31, 2024 and September 30,</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8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 respectively)</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198"/>
        </w:trPr>
        <w:tc>
          <w:tcPr>
            <w:tcW w:w="8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shares (US$0.00001 par value; 603,177,267 and 613,673,320 shares held as of December 31, 2024 and</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September 30, 2025, respectively)</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(1,223,186)</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(1,238,309)</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3,345,536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3,309,785</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Statutory reserves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40,500</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36,148</w:t>
            </w:r>
          </w:p>
        </w:tc>
      </w:tr>
      <w:tr>
        <w:trPr>
          <w:trHeight w:val="216"/>
        </w:trPr>
        <w:tc>
          <w:tcPr>
            <w:tcW w:w="8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2,796,745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4,696,266</w:t>
            </w:r>
          </w:p>
        </w:tc>
        <w:tc>
          <w:tcPr>
            <w:tcW w:w="80" w:type="dxa"/>
            <w:vAlign w:val="bottom"/>
            <w:shd w:val="clear" w:color="auto" w:fill="CCEEFF"/>
          </w:tcPr>
          <w:p>
            <w:pPr>
              <w:spacing w:after="0"/>
              <w:rPr>
                <w:sz w:val="18"/>
                <w:szCs w:val="18"/>
                <w:color w:val="auto"/>
              </w:rPr>
            </w:pPr>
          </w:p>
        </w:tc>
      </w:tr>
      <w:tr>
        <w:trPr>
          <w:trHeight w:val="230"/>
        </w:trPr>
        <w:tc>
          <w:tcPr>
            <w:tcW w:w="8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(247,615)</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(216,982)</w:t>
            </w:r>
          </w:p>
        </w:tc>
      </w:tr>
      <w:tr>
        <w:trPr>
          <w:trHeight w:val="209"/>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JOYY Inc.’s shareholders’ equity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4,711,990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6,586,918</w:t>
            </w:r>
          </w:p>
        </w:tc>
        <w:tc>
          <w:tcPr>
            <w:tcW w:w="80" w:type="dxa"/>
            <w:vAlign w:val="bottom"/>
          </w:tcPr>
          <w:p>
            <w:pPr>
              <w:spacing w:after="0"/>
              <w:rPr>
                <w:sz w:val="18"/>
                <w:szCs w:val="18"/>
                <w:color w:val="auto"/>
              </w:rPr>
            </w:pPr>
          </w:p>
        </w:tc>
      </w:tr>
      <w:tr>
        <w:trPr>
          <w:trHeight w:val="209"/>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47,768</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37,945</w:t>
            </w:r>
          </w:p>
        </w:tc>
      </w:tr>
      <w:tr>
        <w:trPr>
          <w:trHeight w:val="216"/>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4,759,758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6,624,863</w:t>
            </w:r>
          </w:p>
        </w:tc>
        <w:tc>
          <w:tcPr>
            <w:tcW w:w="80" w:type="dxa"/>
            <w:vAlign w:val="bottom"/>
          </w:tcPr>
          <w:p>
            <w:pPr>
              <w:spacing w:after="0"/>
              <w:rPr>
                <w:sz w:val="19"/>
                <w:szCs w:val="19"/>
                <w:color w:val="auto"/>
              </w:rPr>
            </w:pPr>
          </w:p>
        </w:tc>
      </w:tr>
      <w:tr>
        <w:trPr>
          <w:trHeight w:val="210"/>
        </w:trPr>
        <w:tc>
          <w:tcPr>
            <w:tcW w:w="8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7"/>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7,527,797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7,548,130</w:t>
            </w:r>
          </w:p>
        </w:tc>
        <w:tc>
          <w:tcPr>
            <w:tcW w:w="80" w:type="dxa"/>
            <w:vAlign w:val="bottom"/>
          </w:tcPr>
          <w:p>
            <w:pPr>
              <w:spacing w:after="0"/>
              <w:rPr>
                <w:sz w:val="22"/>
                <w:szCs w:val="22"/>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8"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JOYY has ceased consolidation of YY Live business since February 8, 2021 and classified and presented all the related assets and liabilities related to YY Live business on a net basis within prepayments and other current assets. The consideration received by the Company to date remains within cash and cash equivalents, restricted cash and cash equivalents, and short-term deposits. Correspondingly, the advanced payments received have been recorded as accrued liabilities and other current liabilities on the Company’s consolidated balance sheet as of December 31, 2024. On February 25, 2025, the Company entered into agreements with Baidu and closed the sale of YY Live to Baidu.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1"/>
        </w:trPr>
        <w:tc>
          <w:tcPr>
            <w:tcW w:w="4080" w:type="dxa"/>
            <w:vAlign w:val="bottom"/>
          </w:tcPr>
          <w:p>
            <w:pPr>
              <w:spacing w:after="0"/>
              <w:rPr>
                <w:sz w:val="17"/>
                <w:szCs w:val="17"/>
                <w:color w:val="auto"/>
              </w:rPr>
            </w:pPr>
          </w:p>
        </w:tc>
        <w:tc>
          <w:tcPr>
            <w:tcW w:w="1480" w:type="dxa"/>
            <w:vAlign w:val="bottom"/>
            <w:tcBorders>
              <w:top w:val="single" w:sz="8" w:color="auto"/>
            </w:tcBorders>
            <w:gridSpan w:val="2"/>
          </w:tcPr>
          <w:p>
            <w:pPr>
              <w:jc w:val="center"/>
              <w:ind w:right="150"/>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6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7"/>
                <w:szCs w:val="17"/>
                <w:color w:val="auto"/>
              </w:rPr>
            </w:pPr>
          </w:p>
        </w:tc>
      </w:tr>
      <w:tr>
        <w:trPr>
          <w:trHeight w:val="238"/>
        </w:trPr>
        <w:tc>
          <w:tcPr>
            <w:tcW w:w="40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40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7"/>
        </w:trPr>
        <w:tc>
          <w:tcPr>
            <w:tcW w:w="4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Live streaming</w:t>
            </w:r>
            <w:r>
              <w:rPr>
                <w:rFonts w:ascii="Times New Roman" w:cs="Times New Roman" w:eastAsia="Times New Roman" w:hAnsi="Times New Roman"/>
                <w:sz w:val="29"/>
                <w:szCs w:val="29"/>
                <w:color w:val="auto"/>
                <w:vertAlign w:val="superscript"/>
              </w:rPr>
              <w:t>(1)</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439,482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375,409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388,474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1,365,603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1,135,231</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87,107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96,125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233,443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297,288</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32,065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36,226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89,296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109,813</w:t>
            </w:r>
          </w:p>
        </w:tc>
      </w:tr>
      <w:tr>
        <w:trPr>
          <w:trHeight w:val="216"/>
        </w:trPr>
        <w:tc>
          <w:tcPr>
            <w:tcW w:w="4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558,654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507,760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540,221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1,688,342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1,542,332</w:t>
            </w:r>
          </w:p>
        </w:tc>
      </w:tr>
      <w:tr>
        <w:trPr>
          <w:trHeight w:val="210"/>
        </w:trPr>
        <w:tc>
          <w:tcPr>
            <w:tcW w:w="40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4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(350,536)</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(322,515)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(347,090)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(1,085,922)</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(985,341)</w:t>
            </w:r>
          </w:p>
        </w:tc>
      </w:tr>
      <w:tr>
        <w:trPr>
          <w:trHeight w:val="216"/>
        </w:trPr>
        <w:tc>
          <w:tcPr>
            <w:tcW w:w="4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208,118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185,245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193,131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602,420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556,991</w:t>
            </w:r>
          </w:p>
        </w:tc>
      </w:tr>
      <w:tr>
        <w:trPr>
          <w:trHeight w:val="209"/>
        </w:trPr>
        <w:tc>
          <w:tcPr>
            <w:tcW w:w="40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408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tc>
        <w:tc>
          <w:tcPr>
            <w:tcW w:w="1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(72,360)</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(60,075)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(63,094)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(211,255)</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(185,595)</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(83,524)</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(71,852)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(72,072)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(266,294)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(216,055)</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(36,073)</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(47,922)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(39,050)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(108,502)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(119,662)</w:t>
            </w: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(191,957)</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(179,849)</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(174,216)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(586,051)</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(521,312)</w:t>
            </w:r>
          </w:p>
        </w:tc>
      </w:tr>
      <w:tr>
        <w:trPr>
          <w:trHeight w:val="210"/>
        </w:trPr>
        <w:tc>
          <w:tcPr>
            <w:tcW w:w="40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255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1,876</w:t>
            </w:r>
          </w:p>
        </w:tc>
      </w:tr>
      <w:tr>
        <w:trPr>
          <w:trHeight w:val="216"/>
        </w:trPr>
        <w:tc>
          <w:tcPr>
            <w:tcW w:w="4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16,416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19,552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22,228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37,555</w:t>
            </w:r>
          </w:p>
        </w:tc>
      </w:tr>
      <w:tr>
        <w:trPr>
          <w:trHeight w:val="210"/>
        </w:trPr>
        <w:tc>
          <w:tcPr>
            <w:tcW w:w="40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(535)</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(4,535)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investment income</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41,067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40,799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41,548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136,696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121,734</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exchange (losses) gains, net</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(10,742)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(6,370)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(8,849)</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(5,940)</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9,281</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17,633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9,647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22,440</w:t>
            </w: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 expenses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55,487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65,268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58,735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155,187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175,435</w:t>
            </w:r>
          </w:p>
        </w:tc>
      </w:tr>
      <w:tr>
        <w:trPr>
          <w:trHeight w:val="210"/>
        </w:trPr>
        <w:tc>
          <w:tcPr>
            <w:tcW w:w="40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(6,279)</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(6,066)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(3,784)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(13,444)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(15,061)</w:t>
            </w: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4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before share of income (loss) in equity</w:t>
            </w: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2"/>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method investments, net of income taxes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49,208</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59,202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54,951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141,743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160,374</w:t>
            </w:r>
          </w:p>
        </w:tc>
      </w:tr>
      <w:tr>
        <w:trPr>
          <w:trHeight w:val="209"/>
        </w:trPr>
        <w:tc>
          <w:tcPr>
            <w:tcW w:w="40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of income (loss) in equity method investments,</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of income taxes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6,746</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2,156</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55,954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58,026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59,187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143,899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160,116</w:t>
            </w:r>
          </w:p>
        </w:tc>
      </w:tr>
      <w:tr>
        <w:trPr>
          <w:trHeight w:val="210"/>
        </w:trPr>
        <w:tc>
          <w:tcPr>
            <w:tcW w:w="40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40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Gain on disposal of YY Live</w:t>
            </w:r>
            <w:r>
              <w:rPr>
                <w:rFonts w:ascii="Times New Roman" w:cs="Times New Roman" w:eastAsia="Times New Roman" w:hAnsi="Times New Roman"/>
                <w:sz w:val="29"/>
                <w:szCs w:val="29"/>
                <w:b w:val="1"/>
                <w:bCs w:val="1"/>
                <w:color w:val="auto"/>
                <w:vertAlign w:val="superscript"/>
              </w:rPr>
              <w:t>(3)</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1,875,921</w:t>
            </w:r>
          </w:p>
        </w:tc>
      </w:tr>
      <w:tr>
        <w:trPr>
          <w:trHeight w:val="210"/>
        </w:trPr>
        <w:tc>
          <w:tcPr>
            <w:tcW w:w="40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55,954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58,026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59,187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143,899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2,036,037</w:t>
            </w:r>
          </w:p>
        </w:tc>
      </w:tr>
      <w:tr>
        <w:trPr>
          <w:trHeight w:val="210"/>
        </w:trPr>
        <w:tc>
          <w:tcPr>
            <w:tcW w:w="40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the non-controlling interest</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shareholders and the mezzanine equity classified</w:t>
            </w: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non-controlling interest shareholders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4,603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14,010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8,071</w:t>
            </w: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4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controlling interest of</w:t>
            </w: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2"/>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JOYY Inc.</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60,557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60,825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61,960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157,909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2,044,108</w:t>
            </w:r>
          </w:p>
        </w:tc>
      </w:tr>
      <w:tr>
        <w:trPr>
          <w:trHeight w:val="209"/>
        </w:trPr>
        <w:tc>
          <w:tcPr>
            <w:tcW w:w="40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08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Including</w:t>
            </w:r>
            <w:r>
              <w:rPr>
                <w:rFonts w:ascii="MS PGothic" w:cs="MS PGothic" w:eastAsia="MS PGothic" w:hAnsi="MS PGothic"/>
                <w:sz w:val="18"/>
                <w:szCs w:val="18"/>
                <w:color w:val="auto"/>
              </w:rPr>
              <w:t>：</w:t>
            </w:r>
          </w:p>
        </w:tc>
        <w:tc>
          <w:tcPr>
            <w:tcW w:w="1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94"/>
        </w:trPr>
        <w:tc>
          <w:tcPr>
            <w:tcW w:w="4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2"/>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attributable to controlling interest of JOYY Inc.</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60,557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60,825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61,960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157,909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168,187</w:t>
            </w:r>
          </w:p>
        </w:tc>
      </w:tr>
      <w:tr>
        <w:trPr>
          <w:trHeight w:val="257"/>
        </w:trPr>
        <w:tc>
          <w:tcPr>
            <w:tcW w:w="4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Gain on disposal of YY Live</w:t>
            </w:r>
            <w:r>
              <w:rPr>
                <w:rFonts w:ascii="Times New Roman" w:cs="Times New Roman" w:eastAsia="Times New Roman" w:hAnsi="Times New Roman"/>
                <w:sz w:val="29"/>
                <w:szCs w:val="29"/>
                <w:b w:val="1"/>
                <w:bCs w:val="1"/>
                <w:color w:val="auto"/>
                <w:vertAlign w:val="superscript"/>
              </w:rPr>
              <w:t>(3)</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1,875,921</w:t>
            </w: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Accretion of subsidiaries’ redeemable convertible</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preferred shares to redemption value</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(347)</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(1,041)</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(1,041)</w:t>
            </w: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40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1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2"/>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of JOYY Inc.</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60,210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60,478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156,868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2,043,067</w:t>
            </w:r>
          </w:p>
        </w:tc>
      </w:tr>
      <w:tr>
        <w:trPr>
          <w:trHeight w:val="209"/>
        </w:trPr>
        <w:tc>
          <w:tcPr>
            <w:tcW w:w="40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63"/>
        </w:trPr>
        <w:tc>
          <w:tcPr>
            <w:tcW w:w="408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513080</wp:posOffset>
            </wp:positionH>
            <wp:positionV relativeFrom="paragraph">
              <wp:posOffset>-1580515</wp:posOffset>
            </wp:positionV>
            <wp:extent cx="43180" cy="882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80" cy="88265"/>
                    </a:xfrm>
                    <a:prstGeom prst="rect">
                      <a:avLst/>
                    </a:prstGeom>
                    <a:noFill/>
                  </pic:spPr>
                </pic:pic>
              </a:graphicData>
            </a:graphic>
          </wp:anchor>
        </w:drawing>
      </w:r>
    </w:p>
    <w:p>
      <w:pPr>
        <w:sectPr>
          <w:pgSz w:w="11900" w:h="16900" w:orient="portrait"/>
          <w:cols w:equalWidth="0" w:num="1">
            <w:col w:w="11240"/>
          </w:cols>
          <w:pgMar w:left="320" w:top="900" w:right="3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29"/>
        </w:trPr>
        <w:tc>
          <w:tcPr>
            <w:tcW w:w="4300" w:type="dxa"/>
            <w:vAlign w:val="bottom"/>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Including</w:t>
            </w:r>
            <w:r>
              <w:rPr>
                <w:rFonts w:ascii="MS PGothic" w:cs="MS PGothic" w:eastAsia="MS PGothic" w:hAnsi="MS PGothic"/>
                <w:sz w:val="18"/>
                <w:szCs w:val="18"/>
                <w:color w:val="auto"/>
              </w:rPr>
              <w:t>：</w:t>
            </w:r>
          </w:p>
        </w:tc>
        <w:tc>
          <w:tcPr>
            <w:tcW w:w="15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attributable to common shareholders of JOYY</w:t>
            </w:r>
          </w:p>
        </w:tc>
        <w:tc>
          <w:tcPr>
            <w:tcW w:w="1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60,210</w:t>
            </w: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60,478</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61,613</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156,868</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167,146</w:t>
            </w:r>
          </w:p>
        </w:tc>
      </w:tr>
      <w:tr>
        <w:trPr>
          <w:trHeight w:val="398"/>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Gain on disposal of YY Live</w:t>
            </w:r>
            <w:r>
              <w:rPr>
                <w:rFonts w:ascii="Times New Roman" w:cs="Times New Roman" w:eastAsia="Times New Roman" w:hAnsi="Times New Roman"/>
                <w:sz w:val="29"/>
                <w:szCs w:val="29"/>
                <w:b w:val="1"/>
                <w:bCs w:val="1"/>
                <w:color w:val="auto"/>
                <w:vertAlign w:val="superscript"/>
              </w:rPr>
              <w:t>(3)</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1,875,921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-805815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140"/>
          </w:cols>
          <w:pgMar w:left="320" w:top="131" w:right="4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1"/>
        </w:trPr>
        <w:tc>
          <w:tcPr>
            <w:tcW w:w="4080" w:type="dxa"/>
            <w:vAlign w:val="bottom"/>
          </w:tcPr>
          <w:p>
            <w:pPr>
              <w:spacing w:after="0"/>
              <w:rPr>
                <w:sz w:val="17"/>
                <w:szCs w:val="17"/>
                <w:color w:val="auto"/>
              </w:rPr>
            </w:pPr>
          </w:p>
        </w:tc>
        <w:tc>
          <w:tcPr>
            <w:tcW w:w="1260" w:type="dxa"/>
            <w:vAlign w:val="bottom"/>
            <w:tcBorders>
              <w:top w:val="single" w:sz="8" w:color="auto"/>
            </w:tcBorders>
            <w:gridSpan w:val="2"/>
          </w:tcPr>
          <w:p>
            <w:pPr>
              <w:jc w:val="center"/>
              <w:ind w:right="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7"/>
                <w:szCs w:val="17"/>
                <w:color w:val="auto"/>
              </w:rPr>
            </w:pPr>
          </w:p>
        </w:tc>
      </w:tr>
      <w:tr>
        <w:trPr>
          <w:trHeight w:val="238"/>
        </w:trPr>
        <w:tc>
          <w:tcPr>
            <w:tcW w:w="40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14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09"/>
        </w:trPr>
        <w:tc>
          <w:tcPr>
            <w:tcW w:w="408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ADS</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38.64</w:t>
            </w:r>
          </w:p>
        </w:tc>
      </w:tr>
      <w:tr>
        <w:trPr>
          <w:trHeight w:val="216"/>
        </w:trPr>
        <w:tc>
          <w:tcPr>
            <w:tcW w:w="4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Continuing operations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r>
      <w:tr>
        <w:trPr>
          <w:trHeight w:val="216"/>
        </w:trPr>
        <w:tc>
          <w:tcPr>
            <w:tcW w:w="4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35.48</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38.20</w:t>
            </w:r>
          </w:p>
        </w:tc>
      </w:tr>
      <w:tr>
        <w:trPr>
          <w:trHeight w:val="216"/>
        </w:trPr>
        <w:tc>
          <w:tcPr>
            <w:tcW w:w="4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Continuing operations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40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35.07</w:t>
            </w:r>
          </w:p>
        </w:tc>
      </w:tr>
      <w:tr>
        <w:trPr>
          <w:trHeight w:val="216"/>
        </w:trPr>
        <w:tc>
          <w:tcPr>
            <w:tcW w:w="40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40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ADS used in</w:t>
            </w: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calculating net income per ADS</w:t>
            </w:r>
          </w:p>
        </w:tc>
        <w:tc>
          <w:tcPr>
            <w:tcW w:w="1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56,573,411</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52,788,040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52,557,478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59,287,792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52,877,958</w:t>
            </w: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57,220,581</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53,353,026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53,354,913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62,803,046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53,484,775</w:t>
            </w:r>
          </w:p>
        </w:tc>
      </w:tr>
    </w:tbl>
    <w:p>
      <w:pPr>
        <w:spacing w:after="0" w:line="225" w:lineRule="exact"/>
        <w:rPr>
          <w:sz w:val="20"/>
          <w:szCs w:val="20"/>
          <w:color w:val="auto"/>
        </w:rPr>
      </w:pPr>
    </w:p>
    <w:p>
      <w:pPr>
        <w:ind w:left="400" w:hanging="392"/>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by geographical areas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1"/>
        </w:trPr>
        <w:tc>
          <w:tcPr>
            <w:tcW w:w="4080" w:type="dxa"/>
            <w:vAlign w:val="bottom"/>
          </w:tcPr>
          <w:p>
            <w:pPr>
              <w:spacing w:after="0"/>
              <w:rPr>
                <w:sz w:val="17"/>
                <w:szCs w:val="17"/>
                <w:color w:val="auto"/>
              </w:rPr>
            </w:pPr>
          </w:p>
        </w:tc>
        <w:tc>
          <w:tcPr>
            <w:tcW w:w="1260" w:type="dxa"/>
            <w:vAlign w:val="bottom"/>
            <w:tcBorders>
              <w:top w:val="single" w:sz="8" w:color="auto"/>
            </w:tcBorders>
            <w:gridSpan w:val="2"/>
          </w:tcPr>
          <w:p>
            <w:pPr>
              <w:jc w:val="center"/>
              <w:ind w:right="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7"/>
                <w:szCs w:val="17"/>
                <w:color w:val="auto"/>
              </w:rPr>
            </w:pPr>
          </w:p>
        </w:tc>
      </w:tr>
      <w:tr>
        <w:trPr>
          <w:trHeight w:val="238"/>
        </w:trPr>
        <w:tc>
          <w:tcPr>
            <w:tcW w:w="40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0"/>
                <w:szCs w:val="20"/>
                <w:color w:val="auto"/>
              </w:rPr>
            </w:pPr>
          </w:p>
        </w:tc>
        <w:tc>
          <w:tcPr>
            <w:tcW w:w="14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408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countries and regions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306,633</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291,145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325,027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903,768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893,787</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Middle East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77,152</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61,268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57,404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240,140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185,323</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Mainland China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57,952</w:t>
            </w:r>
          </w:p>
        </w:tc>
        <w:tc>
          <w:tcPr>
            <w:tcW w:w="1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51,291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49,229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180,357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148,905</w:t>
            </w: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Southeast Asia and others</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116,917</w:t>
            </w: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104,056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108,561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364,077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314,317</w:t>
            </w:r>
          </w:p>
        </w:tc>
      </w:tr>
    </w:tbl>
    <w:p>
      <w:pPr>
        <w:spacing w:after="0" w:line="206"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Note: Developed countries and region mainly included the United States of America, Singapore, Japan, South Korea and Great Britain. Middle East mainly included Saudi Arabia and other countries located in the region. Southeast Asia and others mainly included Indonesia, Vietnam and rest of the world.</w:t>
      </w:r>
    </w:p>
    <w:p>
      <w:pPr>
        <w:spacing w:after="0" w:line="140"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was allocated in cost of revenues and operating expenses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01"/>
        </w:trPr>
        <w:tc>
          <w:tcPr>
            <w:tcW w:w="4080" w:type="dxa"/>
            <w:vAlign w:val="bottom"/>
          </w:tcPr>
          <w:p>
            <w:pPr>
              <w:spacing w:after="0"/>
              <w:rPr>
                <w:sz w:val="17"/>
                <w:szCs w:val="17"/>
                <w:color w:val="auto"/>
              </w:rPr>
            </w:pPr>
          </w:p>
        </w:tc>
        <w:tc>
          <w:tcPr>
            <w:tcW w:w="1480" w:type="dxa"/>
            <w:vAlign w:val="bottom"/>
            <w:tcBorders>
              <w:top w:val="single" w:sz="8" w:color="auto"/>
            </w:tcBorders>
            <w:gridSpan w:val="2"/>
          </w:tcPr>
          <w:p>
            <w:pPr>
              <w:jc w:val="center"/>
              <w:ind w:right="150"/>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6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7"/>
                <w:szCs w:val="17"/>
                <w:color w:val="auto"/>
              </w:rPr>
            </w:pPr>
          </w:p>
        </w:tc>
      </w:tr>
      <w:tr>
        <w:trPr>
          <w:trHeight w:val="238"/>
        </w:trPr>
        <w:tc>
          <w:tcPr>
            <w:tcW w:w="40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40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2,728</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2,960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9,634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6,187</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w:t>
            </w: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1,778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5,903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7,037</w:t>
            </w:r>
          </w:p>
        </w:tc>
      </w:tr>
    </w:tbl>
    <w:p>
      <w:pPr>
        <w:spacing w:after="0" w:line="206" w:lineRule="exact"/>
        <w:rPr>
          <w:sz w:val="20"/>
          <w:szCs w:val="20"/>
          <w:color w:val="auto"/>
        </w:rPr>
      </w:pPr>
    </w:p>
    <w:p>
      <w:pPr>
        <w:ind w:right="780" w:firstLine="8"/>
        <w:spacing w:after="0" w:line="282" w:lineRule="auto"/>
        <w:tabs>
          <w:tab w:leader="none" w:pos="3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from disposal of YY Live amounted to approximately US$1.9 billion, which was reported as part of the net income from discontinued operations in the first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01"/>
        </w:trPr>
        <w:tc>
          <w:tcPr>
            <w:tcW w:w="4080" w:type="dxa"/>
            <w:vAlign w:val="bottom"/>
          </w:tcPr>
          <w:p>
            <w:pPr>
              <w:spacing w:after="0"/>
              <w:rPr>
                <w:sz w:val="17"/>
                <w:szCs w:val="17"/>
                <w:color w:val="auto"/>
              </w:rPr>
            </w:pPr>
          </w:p>
        </w:tc>
        <w:tc>
          <w:tcPr>
            <w:tcW w:w="1480" w:type="dxa"/>
            <w:vAlign w:val="bottom"/>
            <w:tcBorders>
              <w:top w:val="single" w:sz="8" w:color="auto"/>
            </w:tcBorders>
            <w:gridSpan w:val="2"/>
          </w:tcPr>
          <w:p>
            <w:pPr>
              <w:jc w:val="center"/>
              <w:ind w:right="150"/>
              <w:spacing w:after="0" w:line="201"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6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16,416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19,552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22,228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37,555</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4,915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17,394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16,762</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from business</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13,540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42,262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40,620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34,871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38,303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40,650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89,627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109,937</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4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25,807</w:t>
            </w:r>
          </w:p>
        </w:tc>
        <w:tc>
          <w:tcPr>
            <w:tcW w:w="2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29,198</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Non-GAAP EBITDA</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43,290</w:t>
            </w: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48,194</w:t>
            </w:r>
          </w:p>
        </w:tc>
        <w:tc>
          <w:tcPr>
            <w:tcW w:w="2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50,555</w:t>
            </w:r>
          </w:p>
        </w:tc>
        <w:tc>
          <w:tcPr>
            <w:tcW w:w="2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115,434</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139,135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0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55,954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58,026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59,187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143,899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160,116</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4,915</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17,394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16,762</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from business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13,540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42,262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40,620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9,386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(9,281)</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(17,633)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(4,102)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(9,647)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(22,440)</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expenses related to the convertible bonds’</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to face value</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(1,574)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(5,679)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Reconciling items on the share of equity method</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(6,167)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(5,433)</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0"/>
        </w:trPr>
        <w:tc>
          <w:tcPr>
            <w:tcW w:w="4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from continuing operations</w:t>
            </w: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vMerge w:val="continue"/>
            <w:shd w:val="clear" w:color="auto" w:fill="CCEEFF"/>
          </w:tcPr>
          <w:p>
            <w:pPr>
              <w:spacing w:after="0"/>
              <w:rPr>
                <w:sz w:val="21"/>
                <w:szCs w:val="21"/>
                <w:color w:val="auto"/>
              </w:rPr>
            </w:pP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57,387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74,847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70,142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190,974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206,447</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from continuing operations attributable to</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shareholders of JOYY Inc.</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60,210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60,478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61,613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156,868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167,146</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4,915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17,394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16,762</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intangible assets from business</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13,540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42,262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40,620</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disposal of subsidiary</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(9,281)</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(17,633)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(9,647)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(22,440)</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Interest expenses related to the convertible bonds’</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amortization to face value</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cumulative dividend and deemed dividend</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subsidiaries’ preferred shareholders</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347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(1,574)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913</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(5,679)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198"/>
        </w:trPr>
        <w:tc>
          <w:tcPr>
            <w:tcW w:w="4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Reconciling items on the share of equity method</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(6,167)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(5,433)</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Non-GAAP adjustments for net loss attributable to the</w:t>
            </w: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non-controlling interest shareholders</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(819)</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(1,943)</w:t>
            </w:r>
          </w:p>
        </w:tc>
        <w:tc>
          <w:tcPr>
            <w:tcW w:w="0" w:type="dxa"/>
            <w:vAlign w:val="bottom"/>
          </w:tcPr>
          <w:p>
            <w:pPr>
              <w:spacing w:after="0"/>
              <w:rPr>
                <w:sz w:val="1"/>
                <w:szCs w:val="1"/>
                <w:color w:val="auto"/>
              </w:rPr>
            </w:pPr>
          </w:p>
        </w:tc>
      </w:tr>
      <w:tr>
        <w:trPr>
          <w:trHeight w:val="174"/>
        </w:trPr>
        <w:tc>
          <w:tcPr>
            <w:tcW w:w="40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Non-GAAP net income from continuing operations</w:t>
            </w:r>
          </w:p>
        </w:tc>
        <w:tc>
          <w:tcPr>
            <w:tcW w:w="12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attributable to controlling interest and common</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shareholders of JOYY Inc.</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61,171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76,956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72,423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202,410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212,575</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Non-GAAP net income from continuing operations</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ADS</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1.08</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1.07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ADS used in</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calculating Non-GAAP net income from</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continuing operations per ADS</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56,573,411</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52,788,040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52,557,478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59,287,792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52,877,958</w:t>
            </w:r>
          </w:p>
        </w:tc>
        <w:tc>
          <w:tcPr>
            <w:tcW w:w="0" w:type="dxa"/>
            <w:vAlign w:val="bottom"/>
          </w:tcPr>
          <w:p>
            <w:pPr>
              <w:spacing w:after="0"/>
              <w:rPr>
                <w:sz w:val="1"/>
                <w:szCs w:val="1"/>
                <w:color w:val="auto"/>
              </w:rPr>
            </w:pPr>
          </w:p>
        </w:tc>
      </w:tr>
      <w:tr>
        <w:trPr>
          <w:trHeight w:val="234"/>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57,220,581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53,353,026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53,354,913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62,803,046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53,484,775</w:t>
            </w:r>
          </w:p>
        </w:tc>
        <w:tc>
          <w:tcPr>
            <w:tcW w:w="0" w:type="dxa"/>
            <w:vAlign w:val="bottom"/>
          </w:tcPr>
          <w:p>
            <w:pPr>
              <w:spacing w:after="0"/>
              <w:rPr>
                <w:sz w:val="1"/>
                <w:szCs w:val="1"/>
                <w:color w:val="auto"/>
              </w:rPr>
            </w:pPr>
          </w:p>
        </w:tc>
      </w:tr>
      <w:tr>
        <w:trPr>
          <w:trHeight w:val="657"/>
        </w:trPr>
        <w:tc>
          <w:tcPr>
            <w:tcW w:w="4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703"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SEGMENT REPORT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8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55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440" w:type="dxa"/>
            <w:vAlign w:val="bottom"/>
            <w:gridSpan w:val="2"/>
          </w:tcPr>
          <w:p>
            <w:pPr>
              <w:jc w:val="right"/>
              <w:ind w:right="280"/>
              <w:spacing w:after="0" w:line="250" w:lineRule="exact"/>
              <w:rPr>
                <w:sz w:val="20"/>
                <w:szCs w:val="20"/>
                <w:color w:val="auto"/>
              </w:rPr>
            </w:pPr>
            <w:r>
              <w:rPr>
                <w:rFonts w:ascii="Times New Roman" w:cs="Times New Roman" w:eastAsia="Times New Roman" w:hAnsi="Times New Roman"/>
                <w:sz w:val="17"/>
                <w:szCs w:val="17"/>
                <w:b w:val="1"/>
                <w:bCs w:val="1"/>
                <w:color w:val="auto"/>
              </w:rPr>
              <w:t>Elimination</w:t>
            </w:r>
            <w:r>
              <w:rPr>
                <w:rFonts w:ascii="Times New Roman" w:cs="Times New Roman" w:eastAsia="Times New Roman" w:hAnsi="Times New Roman"/>
                <w:sz w:val="28"/>
                <w:szCs w:val="28"/>
                <w:b w:val="1"/>
                <w:bCs w:val="1"/>
                <w:color w:val="auto"/>
                <w:vertAlign w:val="superscript"/>
              </w:rPr>
              <w:t>(1)</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8"/>
                <w:szCs w:val="18"/>
                <w:color w:val="auto"/>
              </w:rPr>
            </w:pPr>
          </w:p>
        </w:tc>
        <w:tc>
          <w:tcPr>
            <w:tcW w:w="12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Live streaming</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367,744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20,730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388,474</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103,942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8,574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112,516</w:t>
            </w:r>
          </w:p>
        </w:tc>
        <w:tc>
          <w:tcPr>
            <w:tcW w:w="80" w:type="dxa"/>
            <w:vAlign w:val="bottom"/>
            <w:shd w:val="clear" w:color="auto" w:fill="CCEEFF"/>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38,785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39,231</w:t>
            </w:r>
          </w:p>
        </w:tc>
        <w:tc>
          <w:tcPr>
            <w:tcW w:w="80" w:type="dxa"/>
            <w:vAlign w:val="bottom"/>
          </w:tcPr>
          <w:p>
            <w:pPr>
              <w:spacing w:after="0"/>
              <w:rPr>
                <w:sz w:val="19"/>
                <w:szCs w:val="19"/>
                <w:color w:val="auto"/>
              </w:rPr>
            </w:pP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472,435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68,089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540,221</w:t>
            </w:r>
          </w:p>
        </w:tc>
        <w:tc>
          <w:tcPr>
            <w:tcW w:w="80" w:type="dxa"/>
            <w:vAlign w:val="bottom"/>
          </w:tcPr>
          <w:p>
            <w:pPr>
              <w:spacing w:after="0"/>
              <w:rPr>
                <w:sz w:val="19"/>
                <w:szCs w:val="19"/>
                <w:color w:val="auto"/>
              </w:rPr>
            </w:pP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70"/>
        </w:trPr>
        <w:tc>
          <w:tcPr>
            <w:tcW w:w="55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(308,107)</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(39,051)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(347,090)</w:t>
            </w: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164,328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29,038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193,131</w:t>
            </w:r>
          </w:p>
        </w:tc>
        <w:tc>
          <w:tcPr>
            <w:tcW w:w="80" w:type="dxa"/>
            <w:vAlign w:val="bottom"/>
          </w:tcPr>
          <w:p>
            <w:pPr>
              <w:spacing w:after="0"/>
              <w:rPr>
                <w:sz w:val="19"/>
                <w:szCs w:val="19"/>
                <w:color w:val="auto"/>
              </w:rPr>
            </w:pP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7"/>
        </w:trPr>
        <w:tc>
          <w:tcPr>
            <w:tcW w:w="552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(40,950)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(22,331)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(63,094)</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(51,832)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(20,263)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(72,072)</w:t>
            </w: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(18,385)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(20,690)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(39,050)</w:t>
            </w: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(111,167)</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(63,284)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(174,216)</w:t>
            </w:r>
          </w:p>
        </w:tc>
      </w:tr>
      <w:tr>
        <w:trPr>
          <w:trHeight w:val="210"/>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53,431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(33,879)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19,552</w:t>
            </w:r>
          </w:p>
        </w:tc>
        <w:tc>
          <w:tcPr>
            <w:tcW w:w="80" w:type="dxa"/>
            <w:vAlign w:val="bottom"/>
            <w:shd w:val="clear" w:color="auto" w:fill="CCEEFF"/>
          </w:tcPr>
          <w:p>
            <w:pPr>
              <w:spacing w:after="0"/>
              <w:rPr>
                <w:sz w:val="19"/>
                <w:szCs w:val="19"/>
                <w:color w:val="auto"/>
              </w:rPr>
            </w:pPr>
          </w:p>
        </w:tc>
      </w:tr>
      <w:tr>
        <w:trPr>
          <w:trHeight w:val="209"/>
        </w:trPr>
        <w:tc>
          <w:tcPr>
            <w:tcW w:w="55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investment income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14,305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27,994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41,548</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losses, net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(6,085)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(6,370)</w:t>
            </w: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4,102</w:t>
            </w:r>
          </w:p>
        </w:tc>
        <w:tc>
          <w:tcPr>
            <w:tcW w:w="80" w:type="dxa"/>
            <w:vAlign w:val="bottom"/>
          </w:tcPr>
          <w:p>
            <w:pPr>
              <w:spacing w:after="0"/>
              <w:rPr>
                <w:sz w:val="19"/>
                <w:szCs w:val="19"/>
                <w:color w:val="auto"/>
              </w:rPr>
            </w:pP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 benefits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60,916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58,735</w:t>
            </w:r>
          </w:p>
        </w:tc>
        <w:tc>
          <w:tcPr>
            <w:tcW w:w="80" w:type="dxa"/>
            <w:vAlign w:val="bottom"/>
          </w:tcPr>
          <w:p>
            <w:pPr>
              <w:spacing w:after="0"/>
              <w:rPr>
                <w:sz w:val="19"/>
                <w:szCs w:val="19"/>
                <w:color w:val="auto"/>
              </w:rPr>
            </w:pP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 benefits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(5,626)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(3,784)</w:t>
            </w: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4"/>
        </w:trPr>
        <w:tc>
          <w:tcPr>
            <w:tcW w:w="5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(loss) before share of income in equity method investments,</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2"/>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net of income taxes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55,290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54,951</w:t>
            </w:r>
          </w:p>
        </w:tc>
        <w:tc>
          <w:tcPr>
            <w:tcW w:w="80" w:type="dxa"/>
            <w:vAlign w:val="bottom"/>
          </w:tcPr>
          <w:p>
            <w:pPr>
              <w:spacing w:after="0"/>
              <w:rPr>
                <w:sz w:val="21"/>
                <w:szCs w:val="21"/>
                <w:color w:val="auto"/>
              </w:rPr>
            </w:pP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Share of income in equity method investments, net of income taxes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from continuing operations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55,290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59,187</w:t>
            </w: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firstLine="8"/>
        <w:spacing w:after="0" w:line="282" w:lineRule="auto"/>
        <w:tabs>
          <w:tab w:leader="none" w:pos="2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(2) Share-based compensation was allocated in cost of revenues and operating expenses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BIGO</w:t>
            </w:r>
          </w:p>
        </w:tc>
        <w:tc>
          <w:tcPr>
            <w:tcW w:w="22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6980" w:type="dxa"/>
            <w:vAlign w:val="bottom"/>
          </w:tcPr>
          <w:p>
            <w:pPr>
              <w:spacing w:after="0"/>
              <w:rPr>
                <w:sz w:val="18"/>
                <w:szCs w:val="18"/>
                <w:color w:val="auto"/>
              </w:rPr>
            </w:pPr>
          </w:p>
        </w:tc>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2,444</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6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2,982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3,372</w:t>
            </w:r>
          </w:p>
        </w:tc>
      </w:tr>
      <w:tr>
        <w:trPr>
          <w:trHeight w:val="657"/>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RECONCILIATION OF GAAP AND NON-GAAP RESULTS OF UNAUDITED SEGMENT REPORT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1920"/>
        <w:spacing w:after="0" w:line="255" w:lineRule="auto"/>
        <w:rPr>
          <w:sz w:val="20"/>
          <w:szCs w:val="20"/>
          <w:color w:val="auto"/>
        </w:rPr>
      </w:pPr>
      <w:r>
        <w:rPr>
          <w:rFonts w:ascii="Times New Roman" w:cs="Times New Roman" w:eastAsia="Times New Roman" w:hAnsi="Times New Roman"/>
          <w:sz w:val="18"/>
          <w:szCs w:val="18"/>
          <w:color w:val="auto"/>
        </w:rPr>
        <w:t xml:space="preserve">Amortization of intangible assets from business acquisitions </w:t>
      </w:r>
      <w:r>
        <w:rPr>
          <w:rFonts w:ascii="Times New Roman" w:cs="Times New Roman" w:eastAsia="Times New Roman" w:hAnsi="Times New Roman"/>
          <w:sz w:val="18"/>
          <w:szCs w:val="18"/>
          <w:b w:val="1"/>
          <w:bCs w:val="1"/>
          <w:color w:val="auto"/>
        </w:rPr>
        <w:t>Non-GAAP operating income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other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EBITDA</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8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tcBorders>
              <w:top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r>
      <w:tr>
        <w:trPr>
          <w:trHeight w:val="191"/>
        </w:trPr>
        <w:tc>
          <w:tcPr>
            <w:tcW w:w="126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20" w:type="dxa"/>
            <w:vAlign w:val="bottom"/>
          </w:tcPr>
          <w:p>
            <w:pPr>
              <w:spacing w:after="0"/>
              <w:rPr>
                <w:sz w:val="16"/>
                <w:szCs w:val="16"/>
                <w:color w:val="auto"/>
              </w:rPr>
            </w:pPr>
          </w:p>
        </w:tc>
      </w:tr>
      <w:tr>
        <w:trPr>
          <w:trHeight w:val="216"/>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53,431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(33,879)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19,552</w:t>
            </w:r>
          </w:p>
        </w:tc>
      </w:tr>
      <w:tr>
        <w:trPr>
          <w:trHeight w:val="216"/>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3,776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20" w:type="dxa"/>
            <w:vAlign w:val="bottom"/>
          </w:tcPr>
          <w:p>
            <w:pPr>
              <w:spacing w:after="0"/>
              <w:rPr>
                <w:sz w:val="18"/>
                <w:szCs w:val="18"/>
                <w:color w:val="auto"/>
              </w:rPr>
            </w:pPr>
          </w:p>
        </w:tc>
      </w:tr>
      <w:tr>
        <w:trPr>
          <w:trHeight w:val="212"/>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4,590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13,540</w:t>
            </w:r>
          </w:p>
        </w:tc>
      </w:tr>
      <w:tr>
        <w:trPr>
          <w:trHeight w:val="252"/>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66,163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(25,513)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40,650</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9,905</w:t>
            </w:r>
          </w:p>
        </w:tc>
        <w:tc>
          <w:tcPr>
            <w:tcW w:w="20" w:type="dxa"/>
            <w:vAlign w:val="bottom"/>
            <w:tcBorders>
              <w:top w:val="single" w:sz="8" w:color="auto"/>
              <w:bottom w:val="single" w:sz="8" w:color="auto"/>
            </w:tcBorders>
          </w:tcPr>
          <w:p>
            <w:pPr>
              <w:spacing w:after="0"/>
              <w:rPr>
                <w:sz w:val="19"/>
                <w:szCs w:val="19"/>
                <w:color w:val="auto"/>
              </w:rPr>
            </w:pPr>
          </w:p>
        </w:tc>
      </w:tr>
      <w:tr>
        <w:trPr>
          <w:trHeight w:val="250"/>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70,737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50,555</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6260" w:space="720"/>
            <w:col w:w="42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55,290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3,776</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(4,011)</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(4,111)</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(4,111)</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net income from continuing operations</w:t>
            </w: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vMerge w:val="continue"/>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67,168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2,974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70,142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SEGMENT REPORT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598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340" w:type="dxa"/>
            <w:vAlign w:val="bottom"/>
            <w:gridSpan w:val="2"/>
          </w:tcPr>
          <w:p>
            <w:pPr>
              <w:jc w:val="right"/>
              <w:ind w:right="240"/>
              <w:spacing w:after="0" w:line="250" w:lineRule="exact"/>
              <w:rPr>
                <w:sz w:val="20"/>
                <w:szCs w:val="20"/>
                <w:color w:val="auto"/>
              </w:rPr>
            </w:pPr>
            <w:r>
              <w:rPr>
                <w:rFonts w:ascii="Times New Roman" w:cs="Times New Roman" w:eastAsia="Times New Roman" w:hAnsi="Times New Roman"/>
                <w:sz w:val="17"/>
                <w:szCs w:val="17"/>
                <w:b w:val="1"/>
                <w:bCs w:val="1"/>
                <w:color w:val="auto"/>
              </w:rPr>
              <w:t>Elimination</w:t>
            </w:r>
            <w:r>
              <w:rPr>
                <w:rFonts w:ascii="Times New Roman" w:cs="Times New Roman" w:eastAsia="Times New Roman" w:hAnsi="Times New Roman"/>
                <w:sz w:val="28"/>
                <w:szCs w:val="28"/>
                <w:b w:val="1"/>
                <w:bCs w:val="1"/>
                <w:color w:val="auto"/>
                <w:vertAlign w:val="superscript"/>
              </w:rPr>
              <w:t>(1)</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9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8"/>
                <w:szCs w:val="18"/>
                <w:color w:val="auto"/>
              </w:rPr>
            </w:pPr>
          </w:p>
        </w:tc>
        <w:tc>
          <w:tcPr>
            <w:tcW w:w="11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8"/>
                <w:szCs w:val="18"/>
                <w:color w:val="auto"/>
              </w:rPr>
            </w:pPr>
          </w:p>
        </w:tc>
        <w:tc>
          <w:tcPr>
            <w:tcW w:w="11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Live streaming</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355,318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20,091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375,409</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86,801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96,125</w:t>
            </w:r>
          </w:p>
        </w:tc>
        <w:tc>
          <w:tcPr>
            <w:tcW w:w="8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35,909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36,226</w:t>
            </w:r>
          </w:p>
        </w:tc>
        <w:tc>
          <w:tcPr>
            <w:tcW w:w="80" w:type="dxa"/>
            <w:vAlign w:val="bottom"/>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442,733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65,324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507,760</w:t>
            </w:r>
          </w:p>
        </w:tc>
        <w:tc>
          <w:tcPr>
            <w:tcW w:w="80" w:type="dxa"/>
            <w:vAlign w:val="bottom"/>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70"/>
        </w:trPr>
        <w:tc>
          <w:tcPr>
            <w:tcW w:w="598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(285,645)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(36,933)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(322,515)</w:t>
            </w:r>
          </w:p>
        </w:tc>
      </w:tr>
      <w:tr>
        <w:trPr>
          <w:trHeight w:val="209"/>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157,088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28,391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185,245</w:t>
            </w:r>
          </w:p>
        </w:tc>
        <w:tc>
          <w:tcPr>
            <w:tcW w:w="80" w:type="dxa"/>
            <w:vAlign w:val="bottom"/>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57"/>
        </w:trPr>
        <w:tc>
          <w:tcPr>
            <w:tcW w:w="598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(37,427)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(60,075)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(51,990)</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(19,883)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(71,852)</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(16,057)</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(31,901)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(47,922)</w:t>
            </w:r>
          </w:p>
        </w:tc>
      </w:tr>
      <w:tr>
        <w:trPr>
          <w:trHeight w:val="209"/>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(105,474)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(74,609)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(179,849)</w:t>
            </w:r>
          </w:p>
        </w:tc>
      </w:tr>
      <w:tr>
        <w:trPr>
          <w:trHeight w:val="209"/>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51,670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(45,874)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80" w:type="dxa"/>
            <w:vAlign w:val="bottom"/>
            <w:shd w:val="clear" w:color="auto" w:fill="CCEEFF"/>
          </w:tcPr>
          <w:p>
            <w:pPr>
              <w:spacing w:after="0"/>
              <w:rPr>
                <w:sz w:val="19"/>
                <w:szCs w:val="19"/>
                <w:color w:val="auto"/>
              </w:rPr>
            </w:pPr>
          </w:p>
        </w:tc>
      </w:tr>
      <w:tr>
        <w:trPr>
          <w:trHeight w:val="210"/>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investment income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14,220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27,326</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40,799</w:t>
            </w: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gains, net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947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16,811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17,633</w:t>
            </w:r>
          </w:p>
        </w:tc>
        <w:tc>
          <w:tcPr>
            <w:tcW w:w="80" w:type="dxa"/>
            <w:vAlign w:val="bottom"/>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66,838</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65,268</w:t>
            </w:r>
          </w:p>
        </w:tc>
        <w:tc>
          <w:tcPr>
            <w:tcW w:w="80" w:type="dxa"/>
            <w:vAlign w:val="bottom"/>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(5,124)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(6,066)</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(loss) before share of loss in equity method investments, net of</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52"/>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61,714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59,202</w:t>
            </w:r>
          </w:p>
        </w:tc>
        <w:tc>
          <w:tcPr>
            <w:tcW w:w="80" w:type="dxa"/>
            <w:vAlign w:val="bottom"/>
          </w:tcPr>
          <w:p>
            <w:pPr>
              <w:spacing w:after="0"/>
              <w:rPr>
                <w:sz w:val="21"/>
                <w:szCs w:val="21"/>
                <w:color w:val="auto"/>
              </w:rPr>
            </w:pPr>
          </w:p>
        </w:tc>
      </w:tr>
      <w:tr>
        <w:trPr>
          <w:trHeight w:val="209"/>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in equity method investments, net of income taxes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(1,176)</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61,714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58,026</w:t>
            </w: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(2) Share-based compensation was allocated in cost of revenues and operating expenses as follows:</w:t>
      </w:r>
    </w:p>
    <w:p>
      <w:pPr>
        <w:spacing w:after="0" w:line="22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Pr>
          <w:p>
            <w:pPr>
              <w:spacing w:after="0"/>
              <w:rPr>
                <w:sz w:val="19"/>
                <w:szCs w:val="19"/>
                <w:color w:val="auto"/>
              </w:rPr>
            </w:pPr>
          </w:p>
        </w:tc>
        <w:tc>
          <w:tcPr>
            <w:tcW w:w="94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BIGO</w:t>
            </w:r>
          </w:p>
        </w:tc>
        <w:tc>
          <w:tcPr>
            <w:tcW w:w="3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6980" w:type="dxa"/>
            <w:vAlign w:val="bottom"/>
          </w:tcPr>
          <w:p>
            <w:pPr>
              <w:spacing w:after="0"/>
              <w:rPr>
                <w:sz w:val="18"/>
                <w:szCs w:val="18"/>
                <w:color w:val="auto"/>
              </w:rPr>
            </w:pPr>
          </w:p>
        </w:tc>
        <w:tc>
          <w:tcPr>
            <w:tcW w:w="94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US$</w:t>
            </w:r>
          </w:p>
        </w:tc>
        <w:tc>
          <w:tcPr>
            <w:tcW w:w="3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16"/>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1,605</w:t>
            </w:r>
          </w:p>
        </w:tc>
      </w:tr>
      <w:tr>
        <w:trPr>
          <w:trHeight w:val="216"/>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r>
      <w:tr>
        <w:trPr>
          <w:trHeight w:val="234"/>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1,430</w:t>
            </w:r>
          </w:p>
        </w:tc>
      </w:tr>
      <w:tr>
        <w:trPr>
          <w:trHeight w:val="657"/>
        </w:trPr>
        <w:tc>
          <w:tcPr>
            <w:tcW w:w="69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3" w:name="page24"/>
    <w:bookmarkEnd w:id="2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 OF UNAUDITED SEGMENT REPORT</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80" w:type="dxa"/>
            <w:vAlign w:val="bottom"/>
          </w:tcPr>
          <w:p>
            <w:pPr>
              <w:spacing w:after="0"/>
              <w:rPr>
                <w:sz w:val="19"/>
                <w:szCs w:val="19"/>
                <w:color w:val="auto"/>
              </w:rPr>
            </w:pPr>
          </w:p>
        </w:tc>
        <w:tc>
          <w:tcPr>
            <w:tcW w:w="2920" w:type="dxa"/>
            <w:vAlign w:val="bottom"/>
            <w:gridSpan w:val="4"/>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gridSpan w:val="2"/>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51,670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(45,874)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5,796</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2,623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3,967</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13,540</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 (loss)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61,964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(23,661)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38,303</w:t>
            </w:r>
          </w:p>
        </w:tc>
        <w:tc>
          <w:tcPr>
            <w:tcW w:w="80" w:type="dxa"/>
            <w:vAlign w:val="bottom"/>
            <w:shd w:val="clear" w:color="auto" w:fill="CCEEFF"/>
          </w:tcPr>
          <w:p>
            <w:pPr>
              <w:spacing w:after="0"/>
              <w:rPr>
                <w:sz w:val="19"/>
                <w:szCs w:val="19"/>
                <w:color w:val="auto"/>
              </w:rPr>
            </w:pPr>
          </w:p>
        </w:tc>
      </w:tr>
      <w:tr>
        <w:trPr>
          <w:trHeight w:val="20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5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EBITDA</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66,593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(18,399</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48,194</w:t>
            </w:r>
          </w:p>
        </w:tc>
        <w:tc>
          <w:tcPr>
            <w:tcW w:w="80" w:type="dxa"/>
            <w:vAlign w:val="bottom"/>
            <w:shd w:val="clear" w:color="auto" w:fill="CCEEFF"/>
          </w:tcPr>
          <w:p>
            <w:pPr>
              <w:spacing w:after="0"/>
              <w:rPr>
                <w:sz w:val="21"/>
                <w:szCs w:val="2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6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61,714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(3,688)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58,026</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2,623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3,967</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8,950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4,590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13,540</w:t>
            </w:r>
          </w:p>
        </w:tc>
        <w:tc>
          <w:tcPr>
            <w:tcW w:w="8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investments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15,000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(822)</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(16,811)</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(17,633)</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1,551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Pr>
          <w:p>
            <w:pPr>
              <w:spacing w:after="0"/>
              <w:rPr>
                <w:sz w:val="18"/>
                <w:szCs w:val="18"/>
                <w:color w:val="auto"/>
              </w:rPr>
            </w:pPr>
          </w:p>
        </w:tc>
      </w:tr>
      <w:tr>
        <w:trPr>
          <w:trHeight w:val="22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1,034</w:t>
            </w:r>
          </w:p>
        </w:tc>
        <w:tc>
          <w:tcPr>
            <w:tcW w:w="80" w:type="dxa"/>
            <w:vAlign w:val="bottom"/>
            <w:shd w:val="clear" w:color="auto" w:fill="CCEEFF"/>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net income from continuing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70,548</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4,299</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74,847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4"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SEGMENT REPORT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pacing w:after="0" w:line="243"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 streaming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net revenues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29"/>
          <w:szCs w:val="29"/>
          <w:b w:val="1"/>
          <w:bCs w:val="1"/>
          <w:color w:val="auto"/>
          <w:vertAlign w:val="superscript"/>
        </w:rPr>
        <w:t>(2)</w:t>
      </w: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and marketing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136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34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340" w:type="dxa"/>
            <w:vAlign w:val="bottom"/>
            <w:tcBorders>
              <w:top w:val="single" w:sz="8" w:color="auto"/>
            </w:tcBorders>
            <w:gridSpan w:val="2"/>
          </w:tcPr>
          <w:p>
            <w:pPr>
              <w:jc w:val="right"/>
              <w:ind w:right="240"/>
              <w:spacing w:after="0" w:line="250" w:lineRule="exact"/>
              <w:rPr>
                <w:sz w:val="20"/>
                <w:szCs w:val="20"/>
                <w:color w:val="auto"/>
              </w:rPr>
            </w:pPr>
            <w:r>
              <w:rPr>
                <w:rFonts w:ascii="Times New Roman" w:cs="Times New Roman" w:eastAsia="Times New Roman" w:hAnsi="Times New Roman"/>
                <w:sz w:val="17"/>
                <w:szCs w:val="17"/>
                <w:b w:val="1"/>
                <w:bCs w:val="1"/>
                <w:color w:val="auto"/>
              </w:rPr>
              <w:t>Elimination</w:t>
            </w:r>
            <w:r>
              <w:rPr>
                <w:rFonts w:ascii="Times New Roman" w:cs="Times New Roman" w:eastAsia="Times New Roman" w:hAnsi="Times New Roman"/>
                <w:sz w:val="28"/>
                <w:szCs w:val="28"/>
                <w:b w:val="1"/>
                <w:bCs w:val="1"/>
                <w:color w:val="auto"/>
                <w:vertAlign w:val="superscript"/>
              </w:rPr>
              <w:t>(1)</w:t>
            </w:r>
          </w:p>
        </w:tc>
        <w:tc>
          <w:tcPr>
            <w:tcW w:w="11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21"/>
                <w:szCs w:val="21"/>
                <w:color w:val="auto"/>
              </w:rPr>
            </w:pPr>
          </w:p>
        </w:tc>
      </w:tr>
      <w:tr>
        <w:trPr>
          <w:trHeight w:val="228"/>
        </w:trPr>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40" w:type="dxa"/>
            <w:vAlign w:val="bottom"/>
          </w:tcPr>
          <w:p>
            <w:pPr>
              <w:spacing w:after="0"/>
              <w:rPr>
                <w:sz w:val="19"/>
                <w:szCs w:val="19"/>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11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11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US$</w:t>
            </w:r>
          </w:p>
        </w:tc>
        <w:tc>
          <w:tcPr>
            <w:tcW w:w="40" w:type="dxa"/>
            <w:vAlign w:val="bottom"/>
          </w:tcPr>
          <w:p>
            <w:pPr>
              <w:spacing w:after="0"/>
              <w:rPr>
                <w:sz w:val="19"/>
                <w:szCs w:val="19"/>
                <w:color w:val="auto"/>
              </w:rPr>
            </w:pPr>
          </w:p>
        </w:tc>
      </w:tr>
      <w:tr>
        <w:trPr>
          <w:trHeight w:val="395"/>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417,762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21,720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439,482</w:t>
            </w:r>
          </w:p>
        </w:tc>
        <w:tc>
          <w:tcPr>
            <w:tcW w:w="40" w:type="dxa"/>
            <w:vAlign w:val="bottom"/>
          </w:tcPr>
          <w:p>
            <w:pPr>
              <w:spacing w:after="0"/>
              <w:rPr>
                <w:sz w:val="24"/>
                <w:szCs w:val="24"/>
                <w:color w:val="auto"/>
              </w:rPr>
            </w:pPr>
          </w:p>
        </w:tc>
      </w:tr>
      <w:tr>
        <w:trPr>
          <w:trHeight w:val="216"/>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78,083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87,107</w:t>
            </w:r>
          </w:p>
        </w:tc>
        <w:tc>
          <w:tcPr>
            <w:tcW w:w="40" w:type="dxa"/>
            <w:vAlign w:val="bottom"/>
          </w:tcPr>
          <w:p>
            <w:pPr>
              <w:spacing w:after="0"/>
              <w:rPr>
                <w:sz w:val="18"/>
                <w:szCs w:val="18"/>
                <w:color w:val="auto"/>
              </w:rPr>
            </w:pPr>
          </w:p>
        </w:tc>
      </w:tr>
      <w:tr>
        <w:trPr>
          <w:trHeight w:val="248"/>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32,293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32,065</w:t>
            </w:r>
          </w:p>
        </w:tc>
        <w:tc>
          <w:tcPr>
            <w:tcW w:w="40" w:type="dxa"/>
            <w:vAlign w:val="bottom"/>
          </w:tcPr>
          <w:p>
            <w:pPr>
              <w:spacing w:after="0"/>
              <w:rPr>
                <w:sz w:val="21"/>
                <w:szCs w:val="2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496,009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63,037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558,654</w:t>
            </w:r>
          </w:p>
        </w:tc>
        <w:tc>
          <w:tcPr>
            <w:tcW w:w="4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79"/>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(312,561)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(38,050)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(350,536)</w:t>
            </w:r>
          </w:p>
        </w:tc>
      </w:tr>
      <w:tr>
        <w:trPr>
          <w:trHeight w:val="20"/>
        </w:trPr>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183,448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24,987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208,118</w:t>
            </w:r>
          </w:p>
        </w:tc>
        <w:tc>
          <w:tcPr>
            <w:tcW w:w="40" w:type="dxa"/>
            <w:vAlign w:val="bottom"/>
          </w:tcPr>
          <w:p>
            <w:pPr>
              <w:spacing w:after="0"/>
              <w:rPr>
                <w:sz w:val="24"/>
                <w:szCs w:val="24"/>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664"/>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(44,884)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(27,702)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(72,360)</w:t>
            </w:r>
          </w:p>
        </w:tc>
      </w:tr>
      <w:tr>
        <w:trPr>
          <w:trHeight w:val="216"/>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(61,582)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(83,524)</w:t>
            </w:r>
          </w:p>
        </w:tc>
      </w:tr>
      <w:tr>
        <w:trPr>
          <w:trHeight w:val="248"/>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(14,249)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(21,889)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(36,073)</w:t>
            </w:r>
          </w:p>
        </w:tc>
      </w:tr>
      <w:tr>
        <w:trPr>
          <w:trHeight w:val="20"/>
        </w:trPr>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(120,715)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(71,559)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(191,957)</w:t>
            </w:r>
          </w:p>
        </w:tc>
      </w:tr>
      <w:tr>
        <w:trPr>
          <w:trHeight w:val="20"/>
        </w:trPr>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-2485390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-2211070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-1927860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-1636395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-1319530</wp:posOffset>
            </wp:positionV>
            <wp:extent cx="713232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-1028065</wp:posOffset>
            </wp:positionV>
            <wp:extent cx="713232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-153670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14"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62,739</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w:t>
            </w:r>
          </w:p>
        </w:tc>
        <w:tc>
          <w:tcPr>
            <w:tcW w:w="100" w:type="dxa"/>
            <w:vAlign w:val="bottom"/>
            <w:shd w:val="clear" w:color="auto" w:fill="CCEEFF"/>
          </w:tcPr>
          <w:p>
            <w:pPr>
              <w:spacing w:after="0"/>
              <w:rPr>
                <w:sz w:val="19"/>
                <w:szCs w:val="19"/>
                <w:color w:val="auto"/>
              </w:rPr>
            </w:pPr>
          </w:p>
        </w:tc>
      </w:tr>
      <w:tr>
        <w:trPr>
          <w:trHeight w:val="210"/>
        </w:trPr>
        <w:tc>
          <w:tcPr>
            <w:tcW w:w="59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and investment income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13,107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28,877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41,067</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losses, net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(10,290)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(10,742)</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5,466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00" w:type="dxa"/>
            <w:vAlign w:val="bottom"/>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 (expenses) benefits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69,687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55,487</w:t>
            </w:r>
          </w:p>
        </w:tc>
        <w:tc>
          <w:tcPr>
            <w:tcW w:w="100" w:type="dxa"/>
            <w:vAlign w:val="bottom"/>
          </w:tcPr>
          <w:p>
            <w:pPr>
              <w:spacing w:after="0"/>
              <w:rPr>
                <w:sz w:val="19"/>
                <w:szCs w:val="19"/>
                <w:color w:val="auto"/>
              </w:rPr>
            </w:pP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 benefits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(6,408)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(6,279)</w:t>
            </w: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(loss) before share of income in equity method investments, net of</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2"/>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63,279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(14,071)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49,208</w:t>
            </w:r>
          </w:p>
        </w:tc>
        <w:tc>
          <w:tcPr>
            <w:tcW w:w="100" w:type="dxa"/>
            <w:vAlign w:val="bottom"/>
          </w:tcPr>
          <w:p>
            <w:pPr>
              <w:spacing w:after="0"/>
              <w:rPr>
                <w:sz w:val="21"/>
                <w:szCs w:val="21"/>
                <w:color w:val="auto"/>
              </w:rPr>
            </w:pPr>
          </w:p>
        </w:tc>
      </w:tr>
      <w:tr>
        <w:trPr>
          <w:trHeight w:val="210"/>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 of income in equity method investments, net of income taxes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6,746</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from continuing operations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63,279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55,954</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mainly consists of revenues and expenses generated from services among BIGO and All other segments, and interest income and interest expenses generated from the loan between BIGO and All other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(2) Share-based compensation was allocated in cost of revenues and operating expenses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80" w:type="dxa"/>
            <w:vAlign w:val="bottom"/>
          </w:tcPr>
          <w:p>
            <w:pPr>
              <w:spacing w:after="0"/>
              <w:rPr>
                <w:sz w:val="19"/>
                <w:szCs w:val="19"/>
                <w:color w:val="auto"/>
              </w:rPr>
            </w:pPr>
          </w:p>
        </w:tc>
        <w:tc>
          <w:tcPr>
            <w:tcW w:w="2920" w:type="dxa"/>
            <w:vAlign w:val="bottom"/>
            <w:gridSpan w:val="5"/>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6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980" w:type="dxa"/>
            <w:vAlign w:val="bottom"/>
          </w:tcPr>
          <w:p>
            <w:pPr>
              <w:spacing w:after="0"/>
              <w:rPr>
                <w:sz w:val="19"/>
                <w:szCs w:val="19"/>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60" w:type="dxa"/>
            <w:vAlign w:val="bottom"/>
          </w:tcPr>
          <w:p>
            <w:pPr>
              <w:spacing w:after="0"/>
              <w:rPr>
                <w:sz w:val="19"/>
                <w:szCs w:val="19"/>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All other</w:t>
            </w: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698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US$</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1,571</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1,389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2,960</w:t>
            </w: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34"/>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1,964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w:t>
            </w:r>
          </w:p>
        </w:tc>
      </w:tr>
      <w:tr>
        <w:trPr>
          <w:trHeight w:val="657"/>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JOYY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RECONCILIATION OF GAAP AND NON-GAAP RESULTS OF UNAUDITED SEGMENT REPORT</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(All amounts in thousands, except share, ADS and per ADS data)</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1920"/>
        <w:spacing w:after="0" w:line="255" w:lineRule="auto"/>
        <w:rPr>
          <w:sz w:val="20"/>
          <w:szCs w:val="20"/>
          <w:color w:val="auto"/>
        </w:rPr>
      </w:pPr>
      <w:r>
        <w:rPr>
          <w:rFonts w:ascii="Times New Roman" w:cs="Times New Roman" w:eastAsia="Times New Roman" w:hAnsi="Times New Roman"/>
          <w:sz w:val="18"/>
          <w:szCs w:val="18"/>
          <w:color w:val="auto"/>
        </w:rPr>
        <w:t xml:space="preserve">Amortization of intangible assets from business acquisitions </w:t>
      </w:r>
      <w:r>
        <w:rPr>
          <w:rFonts w:ascii="Times New Roman" w:cs="Times New Roman" w:eastAsia="Times New Roman" w:hAnsi="Times New Roman"/>
          <w:sz w:val="18"/>
          <w:szCs w:val="18"/>
          <w:b w:val="1"/>
          <w:bCs w:val="1"/>
          <w:color w:val="auto"/>
        </w:rPr>
        <w:t>Non-GAAP operating income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other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EBITDA</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8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BIGO</w:t>
            </w:r>
          </w:p>
        </w:tc>
        <w:tc>
          <w:tcPr>
            <w:tcW w:w="1440" w:type="dxa"/>
            <w:vAlign w:val="bottom"/>
            <w:tcBorders>
              <w:top w:val="single" w:sz="8" w:color="auto"/>
            </w:tcBorders>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r>
      <w:tr>
        <w:trPr>
          <w:trHeight w:val="191"/>
        </w:trPr>
        <w:tc>
          <w:tcPr>
            <w:tcW w:w="126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US$</w:t>
            </w:r>
          </w:p>
        </w:tc>
        <w:tc>
          <w:tcPr>
            <w:tcW w:w="20" w:type="dxa"/>
            <w:vAlign w:val="bottom"/>
          </w:tcPr>
          <w:p>
            <w:pPr>
              <w:spacing w:after="0"/>
              <w:rPr>
                <w:sz w:val="16"/>
                <w:szCs w:val="16"/>
                <w:color w:val="auto"/>
              </w:rPr>
            </w:pPr>
          </w:p>
        </w:tc>
      </w:tr>
      <w:tr>
        <w:trPr>
          <w:trHeight w:val="216"/>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62,739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(46,323)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16,416</w:t>
            </w:r>
          </w:p>
        </w:tc>
      </w:tr>
      <w:tr>
        <w:trPr>
          <w:trHeight w:val="216"/>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3,752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20" w:type="dxa"/>
            <w:vAlign w:val="bottom"/>
          </w:tcPr>
          <w:p>
            <w:pPr>
              <w:spacing w:after="0"/>
              <w:rPr>
                <w:sz w:val="18"/>
                <w:szCs w:val="18"/>
                <w:color w:val="auto"/>
              </w:rPr>
            </w:pPr>
          </w:p>
        </w:tc>
      </w:tr>
      <w:tr>
        <w:trPr>
          <w:trHeight w:val="212"/>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4,590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13,540</w:t>
            </w:r>
          </w:p>
        </w:tc>
      </w:tr>
      <w:tr>
        <w:trPr>
          <w:trHeight w:val="252"/>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72,852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(37,981)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34,871</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20" w:type="dxa"/>
            <w:vAlign w:val="bottom"/>
            <w:tcBorders>
              <w:top w:val="single" w:sz="8" w:color="auto"/>
              <w:bottom w:val="single" w:sz="8" w:color="auto"/>
            </w:tcBorders>
          </w:tcPr>
          <w:p>
            <w:pPr>
              <w:spacing w:after="0"/>
              <w:rPr>
                <w:sz w:val="19"/>
                <w:szCs w:val="19"/>
                <w:color w:val="auto"/>
              </w:rPr>
            </w:pPr>
          </w:p>
        </w:tc>
      </w:tr>
      <w:tr>
        <w:trPr>
          <w:trHeight w:val="250"/>
        </w:trPr>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76,124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(32,834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43,290</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6260" w:space="720"/>
            <w:col w:w="42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69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63,279</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1,163</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3,752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 from business acquisitions</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8,950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4,590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fair value change of investments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(5,466)</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(3,815)</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(9,281)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effects on non-GAAP adjustments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(796)</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 on the share of equity method investments</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(6,167)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(6,167)</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 from continuing operations</w:t>
            </w: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vMerge w:val="continue"/>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67,148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(9,761</w:t>
            </w:r>
          </w:p>
        </w:tc>
        <w:tc>
          <w:tcPr>
            <w:tcW w:w="220" w:type="dxa"/>
            <w:vAlign w:val="bottom"/>
            <w:vMerge w:val="continue"/>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57,387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lvl w:ilvl="1">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3"/>
      <w:numFmt w:val="bullet"/>
      <w:start w:val="1"/>
    </w:lvl>
  </w:abstractNum>
  <w:abstractNum w:abstractNumId="8">
    <w:nsid w:val="DED7263"/>
    <w:multiLevelType w:val="hybridMultilevel"/>
    <w:lvl w:ilvl="0">
      <w:lvlJc w:val="left"/>
      <w:lvlText w:val="4"/>
      <w:numFmt w:val="bullet"/>
      <w:start w:val="1"/>
    </w:lvl>
  </w:abstractNum>
  <w:abstractNum w:abstractNumId="9">
    <w:nsid w:val="7FDCC233"/>
    <w:multiLevelType w:val="hybridMultilevel"/>
    <w:lvl w:ilvl="0">
      <w:lvlJc w:val="left"/>
      <w:lvlText w:val="6"/>
      <w:numFmt w:val="bullet"/>
      <w:start w:val="1"/>
    </w:lvl>
  </w:abstractNum>
  <w:abstractNum w:abstractNumId="10">
    <w:nsid w:val="1BEFD79F"/>
    <w:multiLevelType w:val="hybridMultilevel"/>
    <w:lvl w:ilvl="0">
      <w:lvlJc w:val="left"/>
      <w:lvlText w:val="8"/>
      <w:numFmt w:val="bullet"/>
      <w:start w:val="1"/>
    </w:lvl>
  </w:abstractNum>
  <w:abstractNum w:abstractNumId="11">
    <w:nsid w:val="41A7C4C9"/>
    <w:multiLevelType w:val="hybridMultilevel"/>
    <w:lvl w:ilvl="0">
      <w:lvlJc w:val="left"/>
      <w:lvlText w:val="%1"/>
      <w:numFmt w:val="decimal"/>
      <w:start w:val="1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2"/>
    </w:lvl>
  </w:abstractNum>
  <w:abstractNum w:abstractNumId="15">
    <w:nsid w:val="519B500D"/>
    <w:multiLevelType w:val="hybridMultilevel"/>
    <w:lvl w:ilvl="0">
      <w:lvlJc w:val="left"/>
      <w:lvlText w:val="(%1)"/>
      <w:numFmt w:val="decimal"/>
      <w:start w:val="3"/>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2025-11-20T05:45:24Z</dcterms:created>
  <dcterms:modified xsi:type="dcterms:W3CDTF">2025-11-20T05:45:24Z</dcterms:modified>
</cp:coreProperties>
</file>