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6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79"/>
        <w:spacing w:after="0"/>
        <w:rPr>
          <w:sz w:val="20"/>
          <w:szCs w:val="20"/>
          <w:color w:val="auto"/>
        </w:rPr>
      </w:pPr>
      <w:r>
        <w:rPr>
          <w:rFonts w:ascii="Arial" w:cs="Arial" w:eastAsia="Arial" w:hAnsi="Arial"/>
          <w:sz w:val="25"/>
          <w:szCs w:val="25"/>
          <w:b w:val="1"/>
          <w:bCs w:val="1"/>
          <w:color w:val="auto"/>
        </w:rPr>
        <w:t>SCHEDULE TO</w:t>
      </w:r>
    </w:p>
    <w:p>
      <w:pPr>
        <w:spacing w:after="0" w:line="230"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(Rule 14d-100)</w:t>
      </w:r>
    </w:p>
    <w:p>
      <w:pPr>
        <w:spacing w:after="0" w:line="22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679"/>
        <w:spacing w:after="0"/>
        <w:rPr>
          <w:sz w:val="20"/>
          <w:szCs w:val="20"/>
          <w:color w:val="auto"/>
        </w:rPr>
      </w:pPr>
      <w:r>
        <w:rPr>
          <w:rFonts w:ascii="Arial" w:cs="Arial" w:eastAsia="Arial" w:hAnsi="Arial"/>
          <w:sz w:val="25"/>
          <w:szCs w:val="25"/>
          <w:b w:val="1"/>
          <w:bCs w:val="1"/>
          <w:color w:val="auto"/>
        </w:rPr>
        <w:t>JOYY Inc.</w:t>
      </w:r>
    </w:p>
    <w:p>
      <w:pPr>
        <w:spacing w:after="0" w:line="34"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(Name of Subject Company (Issuer))</w:t>
      </w:r>
    </w:p>
    <w:p>
      <w:pPr>
        <w:spacing w:after="0" w:line="20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JOYY Inc.</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0.750% Convertible Senior Notes due 2025</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98426T AD8</w:t>
      </w:r>
    </w:p>
    <w:p>
      <w:pPr>
        <w:spacing w:after="0" w:line="229"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David Xueling Li</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Tel: +65 6351-9330</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30 Pasir Panjang Road #15-31A Mapletree Business City,</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Singapore 117440</w:t>
      </w:r>
    </w:p>
    <w:p>
      <w:pPr>
        <w:spacing w:after="0" w:line="211" w:lineRule="exact"/>
        <w:rPr>
          <w:sz w:val="24"/>
          <w:szCs w:val="24"/>
          <w:color w:val="auto"/>
        </w:rPr>
      </w:pPr>
    </w:p>
    <w:tbl>
      <w:tblPr>
        <w:tblLayout w:type="fixed"/>
        <w:tblInd w:w="110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530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with copy to:</w:t>
            </w:r>
          </w:p>
        </w:tc>
      </w:tr>
      <w:tr>
        <w:trPr>
          <w:trHeight w:val="414"/>
        </w:trPr>
        <w:tc>
          <w:tcPr>
            <w:tcW w:w="37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Haiping Li, Esq.</w:t>
            </w:r>
          </w:p>
        </w:tc>
        <w:tc>
          <w:tcPr>
            <w:tcW w:w="5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Yilin Xu, Esq.</w:t>
            </w:r>
          </w:p>
        </w:tc>
      </w:tr>
      <w:tr>
        <w:trPr>
          <w:trHeight w:val="216"/>
        </w:trPr>
        <w:tc>
          <w:tcPr>
            <w:tcW w:w="37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5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37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46/F, Tower II, Jing An Kerry Centre</w:t>
            </w:r>
          </w:p>
        </w:tc>
        <w:tc>
          <w:tcPr>
            <w:tcW w:w="5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30/F, China World Office 2</w:t>
            </w:r>
          </w:p>
        </w:tc>
      </w:tr>
      <w:tr>
        <w:trPr>
          <w:trHeight w:val="216"/>
        </w:trPr>
        <w:tc>
          <w:tcPr>
            <w:tcW w:w="37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1539 Nanjing West Road</w:t>
            </w:r>
          </w:p>
        </w:tc>
        <w:tc>
          <w:tcPr>
            <w:tcW w:w="530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No. 1, Jianguomenwai Avenue</w:t>
            </w:r>
          </w:p>
        </w:tc>
      </w:tr>
      <w:tr>
        <w:trPr>
          <w:trHeight w:val="216"/>
        </w:trPr>
        <w:tc>
          <w:tcPr>
            <w:tcW w:w="37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Shanghai 200040, China</w:t>
            </w:r>
          </w:p>
        </w:tc>
        <w:tc>
          <w:tcPr>
            <w:tcW w:w="5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Chaoyang District</w:t>
            </w:r>
          </w:p>
        </w:tc>
      </w:tr>
      <w:tr>
        <w:trPr>
          <w:trHeight w:val="216"/>
        </w:trPr>
        <w:tc>
          <w:tcPr>
            <w:tcW w:w="37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+86 (21) 6193-8200</w:t>
            </w:r>
          </w:p>
        </w:tc>
        <w:tc>
          <w:tcPr>
            <w:tcW w:w="5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Beijing 100004, China</w:t>
            </w:r>
          </w:p>
        </w:tc>
      </w:tr>
      <w:tr>
        <w:trPr>
          <w:trHeight w:val="234"/>
        </w:trPr>
        <w:tc>
          <w:tcPr>
            <w:tcW w:w="3740" w:type="dxa"/>
            <w:vAlign w:val="bottom"/>
          </w:tcPr>
          <w:p>
            <w:pPr>
              <w:spacing w:after="0"/>
              <w:rPr>
                <w:sz w:val="20"/>
                <w:szCs w:val="20"/>
                <w:color w:val="auto"/>
              </w:rPr>
            </w:pPr>
          </w:p>
        </w:tc>
        <w:tc>
          <w:tcPr>
            <w:tcW w:w="5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+86 (10) 6535-5500</w:t>
            </w:r>
          </w:p>
        </w:tc>
      </w:tr>
    </w:tbl>
    <w:p>
      <w:pPr>
        <w:spacing w:after="0" w:line="198" w:lineRule="exact"/>
        <w:rPr>
          <w:sz w:val="24"/>
          <w:szCs w:val="24"/>
          <w:color w:val="auto"/>
        </w:rPr>
      </w:pPr>
    </w:p>
    <w:p>
      <w:pPr>
        <w:ind w:left="680"/>
        <w:spacing w:after="0"/>
        <w:rPr>
          <w:sz w:val="20"/>
          <w:szCs w:val="20"/>
          <w:color w:val="auto"/>
        </w:rPr>
      </w:pPr>
      <w:r>
        <w:rPr>
          <w:rFonts w:ascii="Arial" w:cs="Arial" w:eastAsia="Arial" w:hAnsi="Arial"/>
          <w:sz w:val="15"/>
          <w:szCs w:val="15"/>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176530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280" w:firstLine="8"/>
        <w:spacing w:after="0" w:line="482"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5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5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49"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981" w:right="1019" w:bottom="846"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This Amendment No. 1 to Schedule TO (this “Amendment No. 1”) amends and supplements the Tender Offer Statement on Schedule TO that was initially filed by JOYY Inc. (the “Company”) on April 17, 2023 (the “Schedule TO”) relating to the Company’s 0.750% Convertible Senior Notes due 2025 (the “2025 Notes”). This Amendment No. 1 relates to the final results of the Company’s repurchase of the 2025 Notes that have been validly surrendered for repurchase and not withdrawn pursuant to the Company’s repurchase right notice to the holders of the 2025 Notes (the “Holders”) dated April 17, 2023 (the “Repurchase Right Notice”). The information contained in the Schedule TO, including the Repurchase Right Notice, as supplemented and amended by the information contained in Item 11 below, is incorporated herein by reference. Except as specifically provided herein, this Amendment No. 1 does not modify any of the information previously reported on the Schedule TO.</w:t>
      </w:r>
    </w:p>
    <w:p>
      <w:pPr>
        <w:spacing w:after="0" w:line="17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Amendment No. 1 amends and supplements the Schedule TO as set forth below and constitutes the final amendment to the Schedule TO. This Amendment No. 1 is intended to satisfy the disclosure requirements of Rule 13e-4(c)(4) under the Securities Exchange Act of 1934.</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11 of the Schedule TO is hereby amended and supplemented to include the following information:</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repurchase right offer expired at 5:00 p.m., New York City time, on Tuesday, June 13, 2023 (the “Expiration Date”). The Company has been advised by Citibank, N.A., as paying agent (the “Paying Agent”), that pursuant to the terms of the Repurchase Right Notice, US$432,232,000 aggregate principal amount of the 2025 Notes were validly surrendered and not withdrawn as of the Expiration Date. The Company has accepted all of the surrendered 2025 Notes for repurchase pursuant to the terms of the Repurchase Right Notice and has forwarded cash in payment of the repurchase price to the Paying Agent for distribution to the Holders that had exercised their Repurchase Right. The aggregate amount of the repurchase price is US$432,232,000. Following the settlement of the repurchase, no 2025 Note will remain outstanding.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12 of the Schedule TO is hereby amended and supplemented to include the following information:</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Exhibits.</w:t>
      </w:r>
    </w:p>
    <w:p>
      <w:pPr>
        <w:spacing w:after="0" w:line="257" w:lineRule="exact"/>
        <w:rPr>
          <w:sz w:val="20"/>
          <w:szCs w:val="20"/>
          <w:color w:val="auto"/>
        </w:rPr>
      </w:pPr>
    </w:p>
    <w:p>
      <w:pPr>
        <w:jc w:val="center"/>
        <w:ind w:left="300"/>
        <w:spacing w:after="0"/>
        <w:rPr>
          <w:rFonts w:ascii="Arial" w:cs="Arial" w:eastAsia="Arial" w:hAnsi="Arial"/>
          <w:sz w:val="17"/>
          <w:szCs w:val="17"/>
          <w:u w:val="single" w:color="auto"/>
          <w:color w:val="0000EE"/>
        </w:rPr>
      </w:pPr>
      <w:hyperlink r:id="rId18">
        <w:r>
          <w:rPr>
            <w:rFonts w:ascii="Arial" w:cs="Arial" w:eastAsia="Arial" w:hAnsi="Arial"/>
            <w:sz w:val="17"/>
            <w:szCs w:val="17"/>
            <w:u w:val="single" w:color="auto"/>
            <w:color w:val="0000EE"/>
          </w:rPr>
          <w:t>(a)(1)</w:t>
        </w:r>
      </w:hyperlink>
      <w:r>
        <w:rPr>
          <w:rFonts w:ascii="Arial" w:cs="Arial" w:eastAsia="Arial" w:hAnsi="Arial"/>
          <w:sz w:val="28"/>
          <w:szCs w:val="28"/>
          <w:u w:val="single" w:color="auto"/>
          <w:color w:val="0000EE"/>
          <w:vertAlign w:val="superscript"/>
        </w:rPr>
        <w:t>†</w:t>
      </w:r>
    </w:p>
    <w:p>
      <w:pPr>
        <w:spacing w:after="0" w:line="326" w:lineRule="exact"/>
        <w:rPr>
          <w:sz w:val="20"/>
          <w:szCs w:val="20"/>
          <w:color w:val="auto"/>
        </w:rPr>
      </w:pPr>
    </w:p>
    <w:p>
      <w:pPr>
        <w:ind w:left="68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(a)(5)(A)</w:t>
        </w:r>
      </w:hyperlink>
      <w:r>
        <w:rPr>
          <w:rFonts w:ascii="Arial" w:cs="Arial" w:eastAsia="Arial" w:hAnsi="Arial"/>
          <w:sz w:val="29"/>
          <w:szCs w:val="29"/>
          <w:u w:val="single" w:color="auto"/>
          <w:color w:val="0000EE"/>
          <w:vertAlign w:val="superscript"/>
        </w:rPr>
        <w: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0000EE"/>
        </w:rPr>
        <w:t>(a)(5)(B)*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7" w:lineRule="auto"/>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Repurchase Right Notice to Holders of 0.750% Convertible Senior Notes due 2025 issued by the Company, dated as of April 17,</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2023.</w:t>
        </w:r>
      </w:hyperlink>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Press Release issued by the Company, dated as of April 17, 2023.</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Press Release issued by the Company, dated as of June 14, 2023.</w:t>
      </w:r>
    </w:p>
    <w:p>
      <w:pPr>
        <w:spacing w:after="0" w:line="200" w:lineRule="exact"/>
        <w:rPr>
          <w:sz w:val="20"/>
          <w:szCs w:val="20"/>
          <w:color w:val="auto"/>
        </w:rPr>
      </w:pPr>
    </w:p>
    <w:p>
      <w:pPr>
        <w:sectPr>
          <w:pgSz w:w="11900" w:h="16838" w:orient="portrait"/>
          <w:cols w:equalWidth="0" w:num="2">
            <w:col w:w="1560" w:space="240"/>
            <w:col w:w="9440"/>
          </w:cols>
          <w:pgMar w:left="320" w:top="904"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ind w:left="1800" w:hanging="111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both"/>
        <w:ind w:left="1800" w:hanging="1118"/>
        <w:spacing w:after="0" w:line="263" w:lineRule="auto"/>
        <w:tabs>
          <w:tab w:leader="none" w:pos="1800" w:val="left"/>
        </w:tabs>
        <w:numPr>
          <w:ilvl w:val="0"/>
          <w:numId w:val="7"/>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Indenture, dated as of June 24, 2019, between the Company and Citicorp International Limited, as trustee (incorporated by</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reference to Exhibit 4.64 to the Company’s annual report on Form 20-F (File No. 001-35729) filed with the Securities and</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Exchange Commission on April 27, 2020).</w:t>
        </w:r>
      </w:hyperlink>
    </w:p>
    <w:p>
      <w:pPr>
        <w:spacing w:after="0" w:line="184" w:lineRule="exact"/>
        <w:rPr>
          <w:rFonts w:ascii="Arial" w:cs="Arial" w:eastAsia="Arial" w:hAnsi="Arial"/>
          <w:sz w:val="18"/>
          <w:szCs w:val="18"/>
          <w:u w:val="single" w:color="auto"/>
          <w:color w:val="0000EE"/>
        </w:rPr>
      </w:pPr>
    </w:p>
    <w:p>
      <w:pPr>
        <w:ind w:left="1800" w:hanging="1118"/>
        <w:spacing w:after="0"/>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800" w:hanging="1118"/>
        <w:spacing w:after="0"/>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Filing Fee Exhibit.</w:t>
      </w:r>
    </w:p>
    <w:p>
      <w:pPr>
        <w:spacing w:after="0" w:line="225" w:lineRule="exact"/>
        <w:rPr>
          <w:rFonts w:ascii="Arial" w:cs="Arial" w:eastAsia="Arial" w:hAnsi="Arial"/>
          <w:sz w:val="18"/>
          <w:szCs w:val="18"/>
          <w:u w:val="single" w:color="auto"/>
          <w:color w:val="0000EE"/>
        </w:rPr>
      </w:pPr>
    </w:p>
    <w:p>
      <w:pPr>
        <w:ind w:left="1800" w:hanging="1118"/>
        <w:spacing w:after="0"/>
        <w:tabs>
          <w:tab w:leader="none" w:pos="1800" w:val="left"/>
        </w:tabs>
        <w:numPr>
          <w:ilvl w:val="1"/>
          <w:numId w:val="10"/>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Filing Fee Table.</w:t>
      </w:r>
    </w:p>
    <w:p>
      <w:pPr>
        <w:spacing w:after="0" w:line="25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8"/>
          <w:szCs w:val="18"/>
          <w:color w:val="auto"/>
        </w:rPr>
        <w:t>* Filed herewith.</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 Previously filed</w:t>
      </w:r>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3" w:name="page4"/>
    <w:bookmarkEnd w:id="3"/>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 w:lineRule="exact"/>
        <w:rPr>
          <w:sz w:val="20"/>
          <w:szCs w:val="20"/>
          <w:color w:val="auto"/>
        </w:rPr>
      </w:pPr>
    </w:p>
    <w:p>
      <w:pPr>
        <w:ind w:right="140"/>
        <w:spacing w:after="0" w:line="426" w:lineRule="auto"/>
        <w:rPr>
          <w:rFonts w:ascii="Arial" w:cs="Arial" w:eastAsia="Arial" w:hAnsi="Arial"/>
          <w:sz w:val="16"/>
          <w:szCs w:val="16"/>
          <w:u w:val="single" w:color="auto"/>
          <w:color w:val="0000EE"/>
        </w:rPr>
      </w:pPr>
      <w:hyperlink r:id="rId18">
        <w:r>
          <w:rPr>
            <w:rFonts w:ascii="Arial" w:cs="Arial" w:eastAsia="Arial" w:hAnsi="Arial"/>
            <w:sz w:val="16"/>
            <w:szCs w:val="16"/>
            <w:u w:val="single" w:color="auto"/>
            <w:color w:val="0000EE"/>
          </w:rPr>
          <w:t>(a)(1)</w:t>
        </w:r>
      </w:hyperlink>
      <w:r>
        <w:rPr>
          <w:rFonts w:ascii="Arial" w:cs="Arial" w:eastAsia="Arial" w:hAnsi="Arial"/>
          <w:sz w:val="26"/>
          <w:szCs w:val="26"/>
          <w:u w:val="single" w:color="auto"/>
          <w:color w:val="0000EE"/>
          <w:vertAlign w:val="superscript"/>
        </w:rPr>
        <w:t>†</w:t>
      </w:r>
      <w:r>
        <w:rPr>
          <w:rFonts w:ascii="Arial" w:cs="Arial" w:eastAsia="Arial" w:hAnsi="Arial"/>
          <w:sz w:val="16"/>
          <w:szCs w:val="16"/>
          <w:u w:val="single" w:color="auto"/>
          <w:color w:val="0000EE"/>
        </w:rPr>
        <w:t xml:space="preserve"> </w:t>
      </w:r>
      <w:hyperlink r:id="rId19">
        <w:r>
          <w:rPr>
            <w:rFonts w:ascii="Arial" w:cs="Arial" w:eastAsia="Arial" w:hAnsi="Arial"/>
            <w:sz w:val="16"/>
            <w:szCs w:val="16"/>
            <w:u w:val="single" w:color="auto"/>
            <w:color w:val="0000EE"/>
          </w:rPr>
          <w:t>(a)(5)(A)</w:t>
        </w:r>
      </w:hyperlink>
      <w:r>
        <w:rPr>
          <w:rFonts w:ascii="Arial" w:cs="Arial" w:eastAsia="Arial" w:hAnsi="Arial"/>
          <w:sz w:val="26"/>
          <w:szCs w:val="26"/>
          <w:u w:val="single" w:color="auto"/>
          <w:color w:val="0000EE"/>
          <w:vertAlign w:val="superscript"/>
        </w:rPr>
        <w:t>†</w:t>
      </w:r>
      <w:r>
        <w:rPr>
          <w:rFonts w:ascii="Arial" w:cs="Arial" w:eastAsia="Arial" w:hAnsi="Arial"/>
          <w:sz w:val="16"/>
          <w:szCs w:val="16"/>
          <w:u w:val="single" w:color="auto"/>
          <w:color w:val="0000EE"/>
        </w:rPr>
        <w:t xml:space="preserve"> (a)(5)(B)*</w:t>
      </w: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(d)</w:t>
        </w:r>
      </w:hyperlink>
    </w:p>
    <w:p>
      <w:pPr>
        <w:spacing w:after="0" w:line="20" w:lineRule="exact"/>
        <w:rPr>
          <w:sz w:val="20"/>
          <w:szCs w:val="20"/>
          <w:color w:val="auto"/>
        </w:rPr>
      </w:pPr>
      <w:r>
        <w:rPr>
          <w:sz w:val="20"/>
          <w:szCs w:val="20"/>
          <w:color w:val="auto"/>
        </w:rPr>
        <w:br w:type="column"/>
      </w:r>
    </w:p>
    <w:p>
      <w:pPr>
        <w:ind w:left="356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75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7" w:lineRule="exact"/>
        <w:rPr>
          <w:sz w:val="20"/>
          <w:szCs w:val="20"/>
          <w:color w:val="auto"/>
        </w:rPr>
      </w:pPr>
    </w:p>
    <w:p>
      <w:pPr>
        <w:spacing w:after="0"/>
        <w:rPr>
          <w:rFonts w:ascii="Arial" w:cs="Arial" w:eastAsia="Arial" w:hAnsi="Arial"/>
          <w:sz w:val="16"/>
          <w:szCs w:val="16"/>
          <w:u w:val="single" w:color="auto"/>
          <w:color w:val="0000EE"/>
        </w:rPr>
      </w:pPr>
      <w:hyperlink r:id="rId18">
        <w:r>
          <w:rPr>
            <w:rFonts w:ascii="Arial" w:cs="Arial" w:eastAsia="Arial" w:hAnsi="Arial"/>
            <w:sz w:val="16"/>
            <w:szCs w:val="16"/>
            <w:u w:val="single" w:color="auto"/>
            <w:color w:val="0000EE"/>
          </w:rPr>
          <w:t>Repurchase Right Notice to Holders of 0.750% Convertible Senior Notes due 2025 issued by the Company, dated as of April 17, 2023.</w:t>
        </w:r>
      </w:hyperlink>
    </w:p>
    <w:p>
      <w:pPr>
        <w:spacing w:after="0" w:line="288" w:lineRule="exact"/>
        <w:rPr>
          <w:sz w:val="20"/>
          <w:szCs w:val="20"/>
          <w:color w:val="auto"/>
        </w:rPr>
      </w:pPr>
    </w:p>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Press Release issued by the Company, dated as of April 17, 2023.</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Press Release issued by the Company, dated as of June 14, 2023.</w:t>
      </w:r>
    </w:p>
    <w:p>
      <w:pPr>
        <w:spacing w:after="0" w:line="225" w:lineRule="exact"/>
        <w:rPr>
          <w:sz w:val="20"/>
          <w:szCs w:val="20"/>
          <w:color w:val="auto"/>
        </w:rPr>
      </w:pPr>
    </w:p>
    <w:p>
      <w:pPr>
        <w:spacing w:after="0" w:line="263" w:lineRule="auto"/>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Indenture, dated as of June 24, 2019, between the Company and Citicorp International Limited, as trustee (incorporated by reference to</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Exhibit 4.64 to the Company’s annual report on Form 20-F (File No. 001-35729) filed with the Securities and Exchange Commission on</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April 27, 2020).</w:t>
        </w:r>
      </w:hyperlink>
    </w:p>
    <w:p>
      <w:pPr>
        <w:spacing w:after="0" w:line="184" w:lineRule="exact"/>
        <w:rPr>
          <w:rFonts w:ascii="Arial" w:cs="Arial" w:eastAsia="Arial" w:hAnsi="Arial"/>
          <w:sz w:val="18"/>
          <w:szCs w:val="18"/>
          <w:u w:val="single" w:color="auto"/>
          <w:color w:val="0000EE"/>
        </w:rPr>
      </w:pPr>
    </w:p>
    <w:p>
      <w:pPr>
        <w:sectPr>
          <w:pgSz w:w="11900" w:h="16838" w:orient="portrait"/>
          <w:cols w:equalWidth="0" w:num="2">
            <w:col w:w="880" w:space="480"/>
            <w:col w:w="9820"/>
          </w:cols>
          <w:pgMar w:left="320" w:top="904" w:right="399" w:bottom="1440" w:gutter="0" w:footer="0" w:header="0"/>
        </w:sectPr>
      </w:pPr>
    </w:p>
    <w:p>
      <w:pPr>
        <w:spacing w:after="0"/>
        <w:tabs>
          <w:tab w:leader="none" w:pos="1340" w:val="left"/>
        </w:tabs>
        <w:rPr>
          <w:sz w:val="20"/>
          <w:szCs w:val="20"/>
          <w:color w:val="auto"/>
        </w:rPr>
      </w:pPr>
      <w:r>
        <w:rPr>
          <w:rFonts w:ascii="Arial" w:cs="Arial" w:eastAsia="Arial" w:hAnsi="Arial"/>
          <w:sz w:val="18"/>
          <w:szCs w:val="18"/>
          <w:u w:val="single" w:color="auto"/>
          <w:color w:val="0000EE"/>
        </w:rPr>
        <w:t>(b)*</w:t>
      </w:r>
      <w:r>
        <w:rPr>
          <w:sz w:val="20"/>
          <w:szCs w:val="20"/>
          <w:color w:val="auto"/>
        </w:rPr>
        <w:tab/>
      </w:r>
      <w:r>
        <w:rPr>
          <w:rFonts w:ascii="Arial" w:cs="Arial" w:eastAsia="Arial" w:hAnsi="Arial"/>
          <w:sz w:val="18"/>
          <w:szCs w:val="18"/>
          <w:u w:val="single" w:color="auto"/>
          <w:color w:val="0000EE"/>
        </w:rPr>
        <w:t>Filing Fee Table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EE"/>
        </w:rPr>
      </w:pPr>
    </w:p>
    <w:p>
      <w:pPr>
        <w:ind w:left="140" w:hanging="132"/>
        <w:spacing w:after="0"/>
        <w:tabs>
          <w:tab w:leader="none" w:pos="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JOYY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Xueling Li</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David Xueling Li</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June 14,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9960"/>
        <w:spacing w:after="0"/>
        <w:rPr>
          <w:sz w:val="20"/>
          <w:szCs w:val="20"/>
          <w:color w:val="auto"/>
        </w:rPr>
      </w:pPr>
      <w:r>
        <w:rPr>
          <w:rFonts w:ascii="Arial" w:cs="Arial" w:eastAsia="Arial" w:hAnsi="Arial"/>
          <w:sz w:val="17"/>
          <w:szCs w:val="17"/>
          <w:b w:val="1"/>
          <w:bCs w:val="1"/>
          <w:color w:val="auto"/>
        </w:rPr>
        <w:t>Exhibit (a)(5)(B)</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JOYY Inc. Announces the Results of the Repurchase Right Offer for its 0.750% Convertible Senior Notes due 2025</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SINGAPORE, June 14, 2023 — JOYY Inc. (Nasdaq: YY) (“JOYY” or the “Company,” formerly known as YY Inc.), a global technology company, today announced the results of its previously announced repurchase right offer relating to its 0.750% Convertible Senior Notes due 2025 (CUSIP No. 98426T AD8) (the “2025 Notes”). The repurchase right offer expired at 5:00 p.m., New York City time, on Tuesday, June 13, 2023. Based on information from Citibank, N.A. as the paying agent for the 2025 Notes, US$432,232,000 aggregate principal amount of the 2025 Notes were validly surrendered and not withdrawn prior to the expiration of the repurchase right offer. The aggregate cash purchase price of these 2025 Notes is US$432,232,000. The Company has accepted all of the surrendered 2025 Notes for repurchase and has forwarded cash in payment of the same to the paying agent for distribution to the applicable holders. Following the settlement of the repurchase, no 2025 Note will remain outstanding.</w:t>
      </w:r>
    </w:p>
    <w:p>
      <w:pPr>
        <w:spacing w:after="0" w:line="1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Materials filed with the SEC will be available electronically without charge at the SEC’s website,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Documents filed with the SEC may also be obtained without charge at the Company’s website, </w:t>
      </w:r>
      <w:r>
        <w:rPr>
          <w:rFonts w:ascii="Arial" w:cs="Arial" w:eastAsia="Arial" w:hAnsi="Arial"/>
          <w:sz w:val="18"/>
          <w:szCs w:val="18"/>
          <w:i w:val="1"/>
          <w:iCs w:val="1"/>
          <w:color w:val="auto"/>
        </w:rPr>
        <w:t>https://ir.joyy.com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JOYY Inc.</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JOYY is a leading global technology company with a mission to enrich lives through technology. JOYY currently operates several social products, including Bigo Live for live streaming, Likee for short-form videos, Hago for multiplayer social networking, an instant messaging product, and others. The Company has created a highly engaging and vibrant user community for users across the globe. JOYY’s ADSs have been listed on the Nasdaq since November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JOYY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Jane Xie/Maggie 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joyy-ir@joyy.com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Robin Yang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joyy@icrinc.com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432"/>
        </w:trPr>
        <w:tc>
          <w:tcPr>
            <w:tcW w:w="2820" w:type="dxa"/>
            <w:vAlign w:val="bottom"/>
          </w:tcPr>
          <w:p>
            <w:pPr>
              <w:spacing w:after="0"/>
              <w:rPr>
                <w:sz w:val="24"/>
                <w:szCs w:val="24"/>
                <w:color w:val="auto"/>
              </w:rPr>
            </w:pPr>
          </w:p>
        </w:tc>
        <w:tc>
          <w:tcPr>
            <w:tcW w:w="4060" w:type="dxa"/>
            <w:vAlign w:val="bottom"/>
            <w:gridSpan w:val="4"/>
          </w:tcPr>
          <w:p>
            <w:pPr>
              <w:jc w:val="center"/>
              <w:ind w:left="1450"/>
              <w:spacing w:after="0"/>
              <w:rPr>
                <w:sz w:val="20"/>
                <w:szCs w:val="20"/>
                <w:color w:val="auto"/>
              </w:rPr>
            </w:pPr>
            <w:r>
              <w:rPr>
                <w:rFonts w:ascii="Arial" w:cs="Arial" w:eastAsia="Arial" w:hAnsi="Arial"/>
                <w:sz w:val="18"/>
                <w:szCs w:val="18"/>
                <w:b w:val="1"/>
                <w:bCs w:val="1"/>
                <w:color w:val="auto"/>
                <w:w w:val="90"/>
              </w:rPr>
              <w:t>Calculation of Filing Fee Tables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2"/>
        </w:trPr>
        <w:tc>
          <w:tcPr>
            <w:tcW w:w="2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Schedule TO</w:t>
            </w:r>
          </w:p>
        </w:tc>
        <w:tc>
          <w:tcPr>
            <w:tcW w:w="7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2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60" w:type="dxa"/>
            <w:vAlign w:val="bottom"/>
            <w:gridSpan w:val="3"/>
          </w:tcPr>
          <w:p>
            <w:pPr>
              <w:jc w:val="center"/>
              <w:ind w:right="670"/>
              <w:spacing w:after="0"/>
              <w:rPr>
                <w:sz w:val="20"/>
                <w:szCs w:val="20"/>
                <w:color w:val="auto"/>
              </w:rPr>
            </w:pPr>
            <w:r>
              <w:rPr>
                <w:rFonts w:ascii="Arial" w:cs="Arial" w:eastAsia="Arial" w:hAnsi="Arial"/>
                <w:sz w:val="18"/>
                <w:szCs w:val="18"/>
                <w:color w:val="auto"/>
                <w:w w:val="92"/>
              </w:rPr>
              <w:t>(Form Type)</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60" w:type="dxa"/>
            <w:vAlign w:val="bottom"/>
            <w:gridSpan w:val="3"/>
          </w:tcPr>
          <w:p>
            <w:pPr>
              <w:jc w:val="center"/>
              <w:ind w:right="650"/>
              <w:spacing w:after="0"/>
              <w:rPr>
                <w:sz w:val="20"/>
                <w:szCs w:val="20"/>
                <w:color w:val="auto"/>
              </w:rPr>
            </w:pPr>
            <w:r>
              <w:rPr>
                <w:rFonts w:ascii="Arial" w:cs="Arial" w:eastAsia="Arial" w:hAnsi="Arial"/>
                <w:sz w:val="18"/>
                <w:szCs w:val="18"/>
                <w:b w:val="1"/>
                <w:bCs w:val="1"/>
                <w:color w:val="auto"/>
                <w:w w:val="97"/>
              </w:rPr>
              <w:t>JOYY Inc.</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2820" w:type="dxa"/>
            <w:vAlign w:val="bottom"/>
          </w:tcPr>
          <w:p>
            <w:pPr>
              <w:spacing w:after="0"/>
              <w:rPr>
                <w:sz w:val="20"/>
                <w:szCs w:val="20"/>
                <w:color w:val="auto"/>
              </w:rPr>
            </w:pPr>
          </w:p>
        </w:tc>
        <w:tc>
          <w:tcPr>
            <w:tcW w:w="4060" w:type="dxa"/>
            <w:vAlign w:val="bottom"/>
            <w:gridSpan w:val="4"/>
          </w:tcPr>
          <w:p>
            <w:pPr>
              <w:jc w:val="center"/>
              <w:ind w:left="1470"/>
              <w:spacing w:after="0"/>
              <w:rPr>
                <w:sz w:val="20"/>
                <w:szCs w:val="20"/>
                <w:color w:val="auto"/>
              </w:rPr>
            </w:pPr>
            <w:r>
              <w:rPr>
                <w:rFonts w:ascii="Arial" w:cs="Arial" w:eastAsia="Arial" w:hAnsi="Arial"/>
                <w:sz w:val="18"/>
                <w:szCs w:val="18"/>
                <w:color w:val="auto"/>
                <w:w w:val="90"/>
              </w:rPr>
              <w:t>(Name of Issuer)</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2820" w:type="dxa"/>
            <w:vAlign w:val="bottom"/>
          </w:tcPr>
          <w:p>
            <w:pPr>
              <w:spacing w:after="0"/>
              <w:rPr>
                <w:sz w:val="24"/>
                <w:szCs w:val="24"/>
                <w:color w:val="auto"/>
              </w:rPr>
            </w:pPr>
          </w:p>
        </w:tc>
        <w:tc>
          <w:tcPr>
            <w:tcW w:w="4060" w:type="dxa"/>
            <w:vAlign w:val="bottom"/>
            <w:gridSpan w:val="4"/>
          </w:tcPr>
          <w:p>
            <w:pPr>
              <w:jc w:val="center"/>
              <w:ind w:left="1450"/>
              <w:spacing w:after="0"/>
              <w:rPr>
                <w:sz w:val="20"/>
                <w:szCs w:val="20"/>
                <w:color w:val="auto"/>
              </w:rPr>
            </w:pPr>
            <w:r>
              <w:rPr>
                <w:rFonts w:ascii="Arial" w:cs="Arial" w:eastAsia="Arial" w:hAnsi="Arial"/>
                <w:sz w:val="18"/>
                <w:szCs w:val="18"/>
                <w:b w:val="1"/>
                <w:bCs w:val="1"/>
                <w:color w:val="auto"/>
                <w:w w:val="90"/>
              </w:rPr>
              <w:t>Table 1 – Transaction Valuation</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2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Transaction</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Amount of</w:t>
            </w:r>
          </w:p>
        </w:tc>
      </w:tr>
      <w:tr>
        <w:trPr>
          <w:trHeight w:val="234"/>
        </w:trPr>
        <w:tc>
          <w:tcPr>
            <w:tcW w:w="2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Valuation</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Fee Rate</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Filing Fee</w:t>
            </w:r>
          </w:p>
        </w:tc>
        <w:tc>
          <w:tcPr>
            <w:tcW w:w="220" w:type="dxa"/>
            <w:vAlign w:val="bottom"/>
          </w:tcPr>
          <w:p>
            <w:pPr>
              <w:spacing w:after="0"/>
              <w:rPr>
                <w:sz w:val="20"/>
                <w:szCs w:val="20"/>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Fees to Be Paid</w:t>
            </w:r>
          </w:p>
        </w:tc>
        <w:tc>
          <w:tcPr>
            <w:tcW w:w="2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Fees Previously Paid</w:t>
            </w:r>
          </w:p>
        </w:tc>
        <w:tc>
          <w:tcPr>
            <w:tcW w:w="3840" w:type="dxa"/>
            <w:vAlign w:val="bottom"/>
            <w:gridSpan w:val="3"/>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432,232,000</w:t>
            </w:r>
            <w:r>
              <w:rPr>
                <w:rFonts w:ascii="Arial" w:cs="Arial" w:eastAsia="Arial" w:hAnsi="Arial"/>
                <w:sz w:val="14"/>
                <w:szCs w:val="14"/>
                <w:color w:val="auto"/>
                <w:w w:val="98"/>
              </w:rPr>
              <w:t>(1)</w:t>
            </w:r>
          </w:p>
        </w:tc>
        <w:tc>
          <w:tcPr>
            <w:tcW w:w="1600" w:type="dxa"/>
            <w:vAlign w:val="bottom"/>
            <w:gridSpan w:val="2"/>
          </w:tcPr>
          <w:p>
            <w:pPr>
              <w:jc w:val="right"/>
              <w:ind w:right="60"/>
              <w:spacing w:after="0" w:line="270" w:lineRule="exact"/>
              <w:rPr>
                <w:sz w:val="20"/>
                <w:szCs w:val="20"/>
                <w:color w:val="auto"/>
              </w:rPr>
            </w:pPr>
            <w:r>
              <w:rPr>
                <w:rFonts w:ascii="Arial" w:cs="Arial" w:eastAsia="Arial" w:hAnsi="Arial"/>
                <w:sz w:val="18"/>
                <w:szCs w:val="18"/>
                <w:color w:val="auto"/>
              </w:rPr>
              <w:t>0.01102%</w:t>
            </w:r>
            <w:r>
              <w:rPr>
                <w:rFonts w:ascii="Arial" w:cs="Arial" w:eastAsia="Arial" w:hAnsi="Arial"/>
                <w:sz w:val="29"/>
                <w:szCs w:val="29"/>
                <w:color w:val="auto"/>
                <w:vertAlign w:val="superscript"/>
              </w:rPr>
              <w:t>(2)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70" w:lineRule="exact"/>
              <w:rPr>
                <w:sz w:val="20"/>
                <w:szCs w:val="20"/>
                <w:color w:val="auto"/>
              </w:rPr>
            </w:pPr>
            <w:r>
              <w:rPr>
                <w:rFonts w:ascii="Arial" w:cs="Arial" w:eastAsia="Arial" w:hAnsi="Arial"/>
                <w:sz w:val="18"/>
                <w:szCs w:val="18"/>
                <w:color w:val="auto"/>
              </w:rPr>
              <w:t xml:space="preserve">47,631.97 </w:t>
            </w:r>
            <w:r>
              <w:rPr>
                <w:rFonts w:ascii="Arial" w:cs="Arial" w:eastAsia="Arial" w:hAnsi="Arial"/>
                <w:sz w:val="29"/>
                <w:szCs w:val="29"/>
                <w:color w:val="auto"/>
                <w:vertAlign w:val="superscript"/>
              </w:rPr>
              <w:t>(2)</w:t>
            </w:r>
          </w:p>
        </w:tc>
      </w:tr>
      <w:tr>
        <w:trPr>
          <w:trHeight w:val="20"/>
        </w:trPr>
        <w:tc>
          <w:tcPr>
            <w:tcW w:w="2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Transaction Valuation</w:t>
            </w:r>
          </w:p>
        </w:tc>
        <w:tc>
          <w:tcPr>
            <w:tcW w:w="3840" w:type="dxa"/>
            <w:vAlign w:val="bottom"/>
            <w:gridSpan w:val="3"/>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432,232,000</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8"/>
                <w:szCs w:val="18"/>
                <w:b w:val="1"/>
                <w:bCs w:val="1"/>
                <w:color w:val="auto"/>
              </w:rPr>
              <w:t>Total Fees Due for Filing</w:t>
            </w:r>
          </w:p>
        </w:tc>
        <w:tc>
          <w:tcPr>
            <w:tcW w:w="2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spacing w:after="0" w:line="270" w:lineRule="exact"/>
              <w:rPr>
                <w:sz w:val="20"/>
                <w:szCs w:val="20"/>
                <w:color w:val="auto"/>
              </w:rPr>
            </w:pPr>
            <w:r>
              <w:rPr>
                <w:rFonts w:ascii="Arial" w:cs="Arial" w:eastAsia="Arial" w:hAnsi="Arial"/>
                <w:sz w:val="18"/>
                <w:szCs w:val="18"/>
                <w:b w:val="1"/>
                <w:bCs w:val="1"/>
                <w:color w:val="auto"/>
              </w:rPr>
              <w:t xml:space="preserve">47,631.97 </w:t>
            </w:r>
            <w:r>
              <w:rPr>
                <w:rFonts w:ascii="Arial" w:cs="Arial" w:eastAsia="Arial" w:hAnsi="Arial"/>
                <w:sz w:val="29"/>
                <w:szCs w:val="29"/>
                <w:b w:val="1"/>
                <w:bCs w:val="1"/>
                <w:color w:val="auto"/>
                <w:vertAlign w:val="superscript"/>
              </w:rPr>
              <w:t>(2)</w:t>
            </w: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Fees Previously Paid</w:t>
            </w:r>
          </w:p>
        </w:tc>
        <w:tc>
          <w:tcPr>
            <w:tcW w:w="2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 xml:space="preserve">47,631.97 </w:t>
            </w:r>
            <w:r>
              <w:rPr>
                <w:rFonts w:ascii="Arial" w:cs="Arial" w:eastAsia="Arial" w:hAnsi="Arial"/>
                <w:sz w:val="29"/>
                <w:szCs w:val="29"/>
                <w:color w:val="auto"/>
                <w:vertAlign w:val="superscript"/>
              </w:rPr>
              <w:t>(2)</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Total Fee Offsets</w:t>
            </w:r>
          </w:p>
        </w:tc>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Fee Due</w:t>
            </w:r>
          </w:p>
        </w:tc>
        <w:tc>
          <w:tcPr>
            <w:tcW w:w="2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2820" w:type="dxa"/>
            <w:vAlign w:val="bottom"/>
            <w:tcBorders>
              <w:bottom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42" w:lineRule="exact"/>
        <w:rPr>
          <w:sz w:val="20"/>
          <w:szCs w:val="20"/>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solely for purposes of determining the filing fee. The repurchase price of the 0.750% Convertible Senior Notes due 2025 (the “2025 Notes”), as described herein, is US$1,000 per US$1,000 principal amount outstanding, with accrued and unpaid interest on the 2025 Notes of nil on June 15, 2023. As of April 17, 2023, there was US$432,232,000 aggregate principal amount of 2025 Notes outstanding, resulting in an aggregate maximum purchase price of US$432,232,000.</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fee of US$47,631.97 was previously paid in connection with the filing of the Tender Offer Statement on Schedule TO on April 17, 2023 by JOYY Inc. (File No. 005-87080). The amount of the filing fee was calculated in accordance with Rule 0-11 of the Securities Exchange Act of 1934, as amended, and equals US$110.20 for each US$1,000,000 of the value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1"/>
      <w:numFmt w:val="lowerLetter"/>
      <w:start w:val="1"/>
    </w:lvl>
    <w:lvl w:ilvl="1">
      <w:lvlJc w:val="left"/>
      <w:lvlText w:val="(%2)"/>
      <w:numFmt w:val="lowerLetter"/>
      <w:start w:val="7"/>
    </w:lvl>
  </w:abstractNum>
  <w:abstractNum w:abstractNumId="8">
    <w:nsid w:val="216231B"/>
    <w:multiLevelType w:val="hybridMultilevel"/>
    <w:lvl w:ilvl="0">
      <w:lvlJc w:val="left"/>
      <w:lvlText w:val="(%1)"/>
      <w:numFmt w:val="lowerLetter"/>
      <w:start w:val="2"/>
    </w:lvl>
    <w:lvl w:ilvl="1">
      <w:lvlJc w:val="left"/>
      <w:lvlText w:val="%2"/>
      <w:numFmt w:val="lowerLetter"/>
      <w:start w:val="1"/>
    </w:lvl>
  </w:abstractNum>
  <w:abstractNum w:abstractNumId="9">
    <w:nsid w:val="1F16E9E8"/>
    <w:multiLevelType w:val="hybridMultilevel"/>
    <w:lvl w:ilvl="0">
      <w:lvlJc w:val="left"/>
      <w:lvlText w:val="*"/>
      <w:numFmt w:val="bullet"/>
      <w:start w:val="1"/>
    </w:lvl>
    <w:lvl w:ilvl="1">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18" Type="http://schemas.openxmlformats.org/officeDocument/2006/relationships/hyperlink" Target="https://www.sec.gov/Archives/edgar/data/1530238/000110465923045930/tm2313003d1_exa1.htm" TargetMode="External"/><Relationship Id="rId19" Type="http://schemas.openxmlformats.org/officeDocument/2006/relationships/hyperlink" Target="https://www.sec.gov/Archives/edgar/data/1530238/000110465923045930/tm2313003d1_exa5a.htm" TargetMode="External"/><Relationship Id="rId21" Type="http://schemas.openxmlformats.org/officeDocument/2006/relationships/hyperlink" Target="https://www.sec.gov/Archives/edgar/data/1530238/000110465920051592/yy-20191231xex4d6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2023-06-14T06:16:37Z</dcterms:created>
  <dcterms:modified xsi:type="dcterms:W3CDTF">2023-06-14T06:16:37Z</dcterms:modified>
</cp:coreProperties>
</file>