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4497d1_6k.htm"/>
      <w:bookmarkStart w:id="1" w:name="kstm252449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001-35729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JOYY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 #15-31A Mapletree Business City,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1100"/>
        <w:gridCol w:w="1100"/>
      </w:tblGrid>
      <w:tr>
        <w:trPr/>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 20-F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055"/>
        <w:gridCol w:w="1115"/>
      </w:tblGrid>
      <w:tr>
        <w:trPr/>
        <w:tc>
          <w:tcPr>
            <w:tcW w:w="105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111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05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524497d1_ex99-1.htm">
              <w:r>
                <w:rPr>
                  <w:rStyle w:val="InternetLink"/>
                  <w:rFonts w:ascii="Times New Roman;Times;Serif" w:hAnsi="Times New Roman;Times;Serif"/>
                  <w:sz w:val="20"/>
                </w:rPr>
                <w:t>Exhibit 99.1</w:t>
              </w:r>
            </w:hyperlink>
          </w:p>
        </w:tc>
        <w:tc>
          <w:tcPr>
            <w:tcW w:w="1115" w:type="dxa"/>
            <w:tcBorders/>
            <w:vAlign w:val="center"/>
          </w:tcPr>
          <w:p>
            <w:pPr>
              <w:pStyle w:val="TableContents"/>
              <w:bidi w:val="0"/>
              <w:spacing w:before="0" w:after="283"/>
              <w:jc w:val="left"/>
              <w:rPr/>
            </w:pPr>
            <w:hyperlink w:anchor="tm2524497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5"/>
        <w:gridCol w:w="410"/>
        <w:gridCol w:w="590"/>
        <w:gridCol w:w="3140"/>
      </w:tblGrid>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JOYY INC.</w:t>
            </w:r>
          </w:p>
        </w:tc>
      </w:tr>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pPr>
            <w:r>
              <w:rPr/>
              <w:t>/s/ Ting Li</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Ting Li</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24497d1_ex99-1.htm"/>
      <w:bookmarkStart w:id="3" w:name="kstm2524497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Reports Second Quarter 2025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27, 2025 (GLOBE NEWSWIRE) -- JOYY Inc. (NASDAQ: JOYY) (“JOYY” or the “Company”), a global technology company, today announced its unaudited financial results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2025 Financial Highlights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b/>
              </w:rPr>
              <w:t xml:space="preserve">Net revenues </w:t>
            </w:r>
            <w:r>
              <w:rPr/>
              <w:t>were US$507.8 million, compared to US$565.1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b/>
              </w:rPr>
              <w:t>Operating income</w:t>
            </w:r>
            <w:r>
              <w:rPr/>
              <w:t xml:space="preserve"> was US$5.8 million in the second quarter of 2025, compared to operating income of US$2.3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b/>
              </w:rPr>
              <w:t>Non-GAAP EBITDA</w:t>
            </w:r>
            <w:r>
              <w:rPr>
                <w:position w:val="8"/>
                <w:sz w:val="19"/>
              </w:rPr>
              <w:t>2 </w:t>
            </w:r>
            <w:r>
              <w:rPr/>
              <w:t>was US$48.2  million, compared to US$38.4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b/>
              </w:rPr>
              <w:t>Net income from continuing operations attributable to controlling interest of JOYY</w:t>
            </w:r>
            <w:r>
              <w:rPr>
                <w:position w:val="8"/>
                <w:sz w:val="19"/>
              </w:rPr>
              <w:t>3</w:t>
            </w:r>
            <w:r>
              <w:rPr/>
              <w:t xml:space="preserve"> was US$60.8 million, compared to net income of US$52.1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b/>
              </w:rPr>
              <w:t>Non-GAAP net income from continuing operations attributable to controlling interest and common shareholders of JOYY</w:t>
            </w:r>
            <w:r>
              <w:rPr>
                <w:position w:val="8"/>
                <w:sz w:val="19"/>
              </w:rPr>
              <w:t>4</w:t>
            </w:r>
            <w:r>
              <w:rPr/>
              <w:t xml:space="preserve"> was US$77.0 million, compared to US$74.0 million in the corresponding period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Operational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b/>
              </w:rPr>
              <w:t>Global average mobile MAUs</w:t>
            </w:r>
            <w:r>
              <w:rPr>
                <w:position w:val="8"/>
                <w:sz w:val="19"/>
              </w:rPr>
              <w:t>5</w:t>
            </w:r>
            <w:r>
              <w:rPr/>
              <w:t xml:space="preserve"> was 262.5 million, compared to 275.2 million in the corresponding period of 2024, primarily due to the Company’s optimization of overall sales and marketing strategies to be more focused on return-on-investment and disciplined spending on advertising across various product lines.</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b/>
              </w:rPr>
              <w:t xml:space="preserve">Average mobile MAUs of Bigo Live </w:t>
            </w:r>
            <w:r>
              <w:rPr/>
              <w:t>was 29.6 million, compared to 37.7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b/>
              </w:rPr>
              <w:t xml:space="preserve">Average mobile MAUs of Likee </w:t>
            </w:r>
            <w:r>
              <w:rPr/>
              <w:t>was 28.5 million, compared to 35.6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b/>
              </w:rPr>
              <w:t xml:space="preserve">Average mobile MAUs of Hago </w:t>
            </w:r>
            <w:r>
              <w:rPr/>
              <w:t>was 3.0 million, compared to 4.4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b/>
              </w:rPr>
              <w:t>Total number of paying users of BIGO (including Bigo Live, Likee and imo)</w:t>
            </w:r>
            <w:r>
              <w:rPr>
                <w:position w:val="8"/>
                <w:sz w:val="19"/>
              </w:rPr>
              <w:t xml:space="preserve">6 </w:t>
            </w:r>
            <w:r>
              <w:rPr/>
              <w:t>was 1.50 million, compared to 1.66 million in the corresponding period of 2024.</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b/>
              </w:rPr>
              <w:t>Average revenue per paying user, or ARPPU, of BIGO (including Bigo Live, Likee and imo)</w:t>
            </w:r>
            <w:r>
              <w:rPr>
                <w:position w:val="8"/>
                <w:sz w:val="19"/>
              </w:rPr>
              <w:t>7</w:t>
            </w:r>
            <w:r>
              <w:rPr/>
              <w:t xml:space="preserve"> was US$215.2, compared to US$233.5 in the corresponding period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Ting Li, Chairperson and Chief Executive Officer of JOYY, commented, “In the second quarter of 2025, we delivered a solid performance as our live streaming business reached a stable footing, while our non-livestreaming business achieved robust and accelerated growth. Our live streaming revenue was US$375.4 million, increasing by 1.1% quarter over quarter, while our non-livestreaming revenue was US$132.4 million, increasing by 25.6% year over year. Our operating income increased from US$2.3 million to US$5.8 million while our non-GAAP EBITDA reached US$48.2 million, growing by 25.7% year over year, due to continued disciplined execution and enhanced operating efficiency. We maintained our commitment to shareholder returns, distributing US$98.5 million in dividends and repurchasing US$36.5 million worth of shares from January 1, 2025 to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dual growth engine strategy yielded positive results, as evidenced by the impressive revenue growth of BIGO Ads. In the second quarter, BIGO’s non livestreaming business, primarily BIGO Ads, achieved approximately 29.0% year-over-year growth and 8.9% quarter-over-quarter growth in revenue, with our third-party ad network revenues recording year-over-year growth in mid-double digits. We are making substantial progress on all fronts of our advertising business, including expansion of our traffic and rising advertisers’ demand across channels and verticals. As we grow in scale, we are accelerating the training and optimization of our algorithms to further improve our campaign performance and return-on-investment, which we believe in turn will drive further growth in advertisers’ demand and publisher traffic, fostering a self-reinforcing strategic flywheel. With our global operational capabilities, tech infrastructure, and vibrant ecosystem, we are confident in building a meaningful and lasting presence in the advertising technology industry while delivering sustained,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were US$507.8 million in the second quarter of 2025, compared to US$565.1 million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 revenues were US$375.4 million in the second quarter of 2025, compared to US$459.7 million in the corresponding period of 2024. The decrease was mainly due to the decline in the number of paying users and ARPPU of BIGO, as well as adjustments to the interactive features of the Company’s non-core audio livestreaming products for compliance enhancement.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 increased by 25.6% to US$132.4 million in the second quarter of 2025 from US105.4 million in the corresponding period of 2024, primarily due to the substantial growth of the advertising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11.9% to US$322.5 million in the second quarter of 2025 from US$366.2 million in the corresponding period of 2024, primarily driven by the decrease in BIGO segment. BIGO’s cost of revenues decreased by 12.8% to US$285.6 million, primarily driven by a US$36.5 million decrease in revenue-sharing fees and content costs. All other’s cost of revenues decreased by 4.1% to US$36.9 million, mainly due to a decrease in revenue-sharing fees and content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US$185.2 million in the second quarter of 2025, compared to US$198.9 million in the corresponding period of 2024. Gross margin was 36.5% in the second quarter of 2025, compared to 35.2%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US$179.8 million in the second quarter of 2025, compared to US$198.7 million in the corresponding period of 2024. Among the operating expenses, sales and marketing expenses decreased to US$71.9 million in the second quarter of 2025 from US$88.1 million in the corresponding period of 2024, as the Company optimized overall sales and marketing strategies across various social products to be more focused on return-on-investment and user acquisition effectiveness. Research and development expenses decreased to US$60.1 million in the second quarter of 2025 from US$69.9 million in the corresponding period of 2024, primarily due to decreases in salary and welfare of US$6.8 million and share-based compensation expenses of US$1.7 million. General and administrative expenses increased to US$47.9 million in the second quarter of 2025 from US$40.7 million in the corresponding period of 2024, primarily due to an increase in impairment of investments of US$5.6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was US$5.8 million in the second quarter of 2025, compared to operating income of US$2.3 million in the corresponding period of 2024, representing a 155.4% year-over-year increase. Operating income margin was 1.1% in the second quarter of 2025, compared to operating income margin of 0.4%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was US$38.3 million in the second quarter of 2025, compared to US$30.0 million in the corresponding period of 2024, representing a 27.9% year-over-year increase. Non-GAAP operating income margin</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was 7.5% in the second quarter of 2025, compared to 5.3%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EBITDA was US$48.2 million, compared to US$38.4 million in the corresponding period of 2024. Non-GAAP EBITDA margin</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was 9.5%, compared to 6.8%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attributable to controlling interest of JOYY was US$60.8 million in the second quarter of 2025, compared to US$52.1 million in the corresponding period of 2024. Net income margin was 12.0% in the second quarter of 2025, compared to net income margin of 9.2%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from continuing operations attributable to controlling interest and common shareholders of JOYY was US$77.0 million in the second quarter of 2025, compared to US$74.0 million in the corresponding period of 2024. Non-GAAP net income margin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was 15.2% in the second quarter of 2025, compared to non-GAAP net income margin of 13.1%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from continuing operations per ADS</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was US$1.13 in the second quarter of 2025, compared to US$0.83 in the corresponding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net income from continuing operations per ADS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was US$1.44 in the second quarter of 2025, compared to US$1.17 in the corresponding period of 2024, up by 23.1% year over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had net cash</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of US$3,318.8 million, compared with US$3,275.9 million as of December 31, 2024. For the second quarter of 2025, net cash from operating activities was US$57.6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had a total of 1,027.3 million common shares outstanding, representing the equivalent of 51.4 million ADSs assuming the conversion of all common shares into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2025, the Company expects net revenues to be between US$525 million and US$539 million. This forecast reflects the Company’s current and preliminary views on the market, operational conditions and business strategies, which are subject to changes, particularly as to the potential impact from increasing macroeconomic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share repurchase program authorized in March 2025, which is effective till the end of 2027, the Company had repurchased 0.83 million ADSs for an aggregate consideration of US$36.5 million on the open market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Dividend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board of directors authorized a quarterly dividend program from 2025 to 2027, under which a total of approximately US$600 million in cash will be distributed on a quarterly basis over the three-year period. Pursuant to this quarterly dividend program, the board of directors has accordingly declared a dividend of US$0.95 per ADS, or US$0.0475 per common share, for the third quarter of 2025, which is expected to be paid on October 10, 2025 to shareholders of record as of the close of business on September 22, 2025. The ex-dividend date will be September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 conference call at 9:00 PM U.S. Eastern Time on Tuesday, August 26, 2025 (9:00 AM Singapore/Hong Kong Time on Wednesday, August 27, 2025). 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JOYY Inc. Second Quarter 2025 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 #10049735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PRE-REGISTER LINK: https://s1.c-conf.com/diamondpass/10049735-yoj182.html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https://ir.joyy.com.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replay will be accessible through September 4, 2025,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265"/>
        <w:gridCol w:w="1370"/>
      </w:tblGrid>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1-855-883-1031</w:t>
            </w:r>
          </w:p>
        </w:tc>
      </w:tr>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800-101-3223</w:t>
            </w:r>
          </w:p>
        </w:tc>
      </w:tr>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800-930-639</w:t>
            </w:r>
          </w:p>
        </w:tc>
      </w:tr>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ID:</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#10049735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JOYY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JOYY is a leading global technology company with a mission to enrich lives through technology. With a diversified product portfolio spanning live streaming, short-form videos, casual games, instant messaging, and emerging initiatives like advertising, JOYY has evolved beyond social entertainment into a multifaceted ecosystem powered by AI and data-driven technologies. Headquartered in Singapore and operating across the globe, JOYY has fostered a vibrant user community through its localized strategies. JOYY’s ADSs have been listed on the NASDAQ since November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social entertainment and advertising market; the expectation regarding the rate at which to gain active users, especially paying users; JOYY’s ability to monetize the user base; JOYY’s ability to attract new advertisers and publishers; JOYY’s ability to adopt the latest technology to enhance its operations;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accounting principles generally accepted in the United States of America (“U.S. GAAP”). JOYY uses non-GAAP operating (loss) income, non-GAAP operating income (loss) margin, non-GAAP EBITDA, non-GAAP EBITDA margin, non-GAAP net income (loss) from continuing operations attributable to controlling interest of JOYY, non-GAAP net income (loss) margin attributable to controlling interest of JOYY, non-GAAP net income (loss) from continuing operations attributable to common shareholders of JOYY, and basic and diluted non-GAAP net income (loss)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deconsolidation and disposal of subsidiaries and business. Non-GAAP operating income (loss) margin is non-GAAP operating income as a percentage of net revenues. Non-GAAP net income (loss) from continuing operations is net income (loss) from continuing operations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gain (loss) on extinguishment of debt and derivative, interest expenses related to the convertible bonds’ amortization to face value, and income tax effects of the above non-GAAP reconciling items. Non-GAAP EBITDA is non-GAAP operating income (loss) added back depreciation and amortization (other than amortization of intangible assets resulting from assets and business acquisitions), and non-GAAP EBITDA margin is non-GAAP EBITDA as a percentage of net revenues. Non-GAAP net income (loss) from continuing operations attributable to controlling interest of JOYY is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income tax effects of the above non-GAAP reconciling items and adjustments for non-GAAP reconciling items for the net (loss) income from continuing operations attributable to non-controlling interest shareholders. Non-GAAP net income (loss) margin is non-GAAP net income (loss) from continuing operations attributable to controlling interest of JOYY as a percentage of net revenues. Non-GAAP net income (loss) from continuing operations attributable to common shareholders of JOYY is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from continuing operations attributable to non-controlling interest shareholders. After the non-GAAP adjustment, non-GAAP net income (loss) from continuing operations attributable to controlling interests of JOYY is equal to the non-GAAP net income (loss) from continuing operations attributable to common shareholders of JOYY. Basic and diluted non-GAAP net income (loss) from continuing operations per ADS is non-GAAP net income (loss) from continuing operations attributable to common shareholders of JOYY divided by weighted average number of ADS used in the calculation of basic and diluted net income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(i) share-based compensation expenses, amortization of intangible assets from business acquisitions, gain (loss) on extinguishment of debt and derivative, and interest expenses related to the convertible bonds’ amortization to face value, which have been and will continue to be significant recurring expenses in its business, (ii) impairment of goodwill and investments, gain (loss) on deconsolidation and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from continuing operations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joyy-ir@joyy.com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The financial information and non-GAAP financial information disclosed in this press release is presented on a continuing operations basis, unless otherwise specifically stated. For the avoidance of confusion, the continuing operations for the three months ended June 30, 2024, March 31, 2025 and June 30, 2025 and for the six months ended June 30, 2024 and June 30, 2025, as presented in this press release, primarily consisted of BIGO segment (primarily including Bigo Live, Likee and imo) and the All other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Non-GAAP EBITDA is a non-GAAP financial measure, which is defined as non-GAAP operating income (loss) added back depreciation and amortization (other than amortization of intangible assets resulting from assets and business acquisitions).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Net income (loss) from continuing operations attributable to controlling interest of JOYY is net income (loss) from continuing operations less net (loss) income from continuing operations attributable to the non-controlling interest shareholders and the mezzanine equity classified non-controlling interest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Non-GAAP net income (loss) from continuing operations attributable to controlling interest of JOYY is a non-GAAP financial measure, which is defined as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which refer to those similar non-GAAP reconciling items of the Company, gain (loss) on extinguishment of debt and derivative, interest expenses related to the convertible bonds amortization to face value, income tax effects of the above non-GAAP reconciling items and adjustments for non-GAAP reconciling items for net (loss) income attributable to non-controlling interest shareholders. These adjustments amounted to US$16.1 million and US$22.0 million in the second quarter of 2025 and 2024, respectively.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Refers to average mobile monthly active users of the social entertainment platforms operated by the Company, including Bigo Live, Likee, imo and Hago. Average mobile MAU for any period is calculated by dividing (i) the sum of the Company’s mobile active users for each month of such period, by (ii) the number of months 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The number of paying users during a given period is calculated as the cumulative number of registered user accounts that have purchased virtual items or other products and services on Bigo Live, Likee or imo at least once during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 </w:t>
      </w:r>
      <w:r>
        <w:rPr>
          <w:rFonts w:ascii="Times New Roman;Times;Serif" w:hAnsi="Times New Roman;Times;Serif"/>
          <w:b w:val="false"/>
          <w:i w:val="false"/>
          <w:caps w:val="false"/>
          <w:smallCaps w:val="false"/>
          <w:sz w:val="20"/>
        </w:rPr>
        <w:t>Average revenue per user is calculated by dividing the Company’s total revenues from live streaming on Bigo Live, Likee and imo during a given period by the number of paying users for the Company’s live streaming services on these platforms for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Non-GAAP operating income (loss) is a non-GAAP financial measure, which is defined as operating income (loss) excluding share-based compensation expenses, amortization of intangible assets from business acquisitions, impairment of goodwill and investments and gain (loss) on deconsolidation and disposal of subsidiaries and business.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Non-GAAP EBITDA margin is a non-GAAP financial measure, which is defined as non-GAAP EBITDA as a percentage of net revenues.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Non-GAAP net income (loss) margin is non-GAAP net income from continuing operations attributable to controlling interest of JOYY as a percentage of 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ADS refers to American Depositary Share. Each ADS represents twenty Class A common shares of the Company. Diluted net income (loss) per ADS is net income (loss) attributable to common shareholders of JOYY divided by weighted average number of diluted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Non-GAAP diluted net income (loss) from continuing operations per ADS is a non-GAAP financial measure, which is defined as non-GAAP net income (loss) from continuing operations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Net cash is calculated as the sum of cash and cash equivalents, restricted cash and cash equivalents, short-term deposits, restricted short-term deposits, short-term investments, long-term deposits and held-to-maturity investments, less convertible bonds and short-term and long-term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sz w:val="20"/>
        </w:rPr>
      </w:pPr>
      <w:r>
        <w:rPr>
          <w:rFonts w:ascii="Times New Roman;Times;Serif" w:hAnsi="Times New Roman;Times;Serif"/>
          <w:b/>
          <w:sz w:val="20"/>
        </w:rPr>
        <w:t>JOYY INC.</w:t>
      </w:r>
      <w:r>
        <w:rPr>
          <w:sz w:val="20"/>
        </w:rPr>
        <w:t xml:space="preserve"> </w:t>
        <w:br/>
      </w:r>
      <w:r>
        <w:rPr>
          <w:rFonts w:ascii="Times New Roman;Times;Serif" w:hAnsi="Times New Roman;Times;Serif"/>
          <w:b/>
          <w:sz w:val="20"/>
        </w:rPr>
        <w:t>UNAUDITED CONDENSED CONSOLIDATED BALANCE SHEETS</w:t>
        <w:br/>
      </w:r>
      <w:r>
        <w:rPr>
          <w:rFonts w:ascii="Times New Roman;Times;Serif" w:hAnsi="Times New Roman;Times;Serif"/>
          <w:sz w:val="20"/>
        </w:rPr>
        <w:t>(All amounts in thousands, except share, ADS and per ADS data)</w:t>
      </w:r>
      <w:r>
        <w:rPr>
          <w:sz w:val="20"/>
        </w:rPr>
        <w:t xml:space="preserve">  </w:t>
      </w:r>
    </w:p>
    <w:p>
      <w:pPr>
        <w:pStyle w:val="TextBody"/>
        <w:bidi w:val="0"/>
        <w:spacing w:before="0" w:after="283"/>
        <w:jc w:val="left"/>
        <w:rPr/>
      </w:pPr>
      <w:r>
        <w:rPr/>
        <w:t> </w:t>
      </w:r>
    </w:p>
    <w:tbl>
      <w:tblPr>
        <w:tblW w:w="6990" w:type="dxa"/>
        <w:jc w:val="left"/>
        <w:tblInd w:w="0" w:type="dxa"/>
        <w:tblLayout w:type="fixed"/>
        <w:tblCellMar>
          <w:top w:w="0" w:type="dxa"/>
          <w:left w:w="0" w:type="dxa"/>
          <w:bottom w:w="0" w:type="dxa"/>
          <w:right w:w="0" w:type="dxa"/>
        </w:tblCellMar>
      </w:tblPr>
      <w:tblGrid>
        <w:gridCol w:w="4595"/>
        <w:gridCol w:w="60"/>
        <w:gridCol w:w="60"/>
        <w:gridCol w:w="1175"/>
        <w:gridCol w:w="60"/>
        <w:gridCol w:w="60"/>
        <w:gridCol w:w="60"/>
        <w:gridCol w:w="845"/>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3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444,761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short-term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537,080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2,556,281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2,020,685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deposits and held-to-maturity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1,124,308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1,681,649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530,685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499,723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515,875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249,465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4,971,516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5,497,560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7,527,797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7,518,245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equity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due within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2,674,092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801,646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2,744,306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872,033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sz w:val="20"/>
        </w:rPr>
      </w:pPr>
      <w:r>
        <w:rPr>
          <w:rFonts w:ascii="Times New Roman;Times;Serif" w:hAnsi="Times New Roman;Times;Serif"/>
          <w:b/>
          <w:sz w:val="20"/>
        </w:rPr>
        <w:t>JOYY INC.</w:t>
      </w:r>
      <w:r>
        <w:rPr>
          <w:sz w:val="20"/>
        </w:rPr>
        <w:t xml:space="preserve"> </w:t>
        <w:br/>
      </w:r>
      <w:r>
        <w:rPr>
          <w:rFonts w:ascii="Times New Roman;Times;Serif" w:hAnsi="Times New Roman;Times;Serif"/>
          <w:b/>
          <w:sz w:val="20"/>
        </w:rPr>
        <w:t>UNAUDITED CONDENSED CONSOLIDATED BALANCE SHEETS (CONTINUED)</w:t>
      </w:r>
      <w:r>
        <w:rPr>
          <w:sz w:val="20"/>
        </w:rPr>
        <w:t xml:space="preserve"> </w:t>
        <w:br/>
      </w:r>
      <w:r>
        <w:rPr>
          <w:rFonts w:ascii="Times New Roman;Times;Serif" w:hAnsi="Times New Roman;Times;Serif"/>
          <w:sz w:val="20"/>
        </w:rPr>
        <w:t>(All amounts in thousands, except share, ADS and per ADS data)</w:t>
      </w:r>
      <w:r>
        <w:rPr>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742"/>
        <w:gridCol w:w="60"/>
        <w:gridCol w:w="60"/>
        <w:gridCol w:w="1142"/>
        <w:gridCol w:w="80"/>
        <w:gridCol w:w="60"/>
        <w:gridCol w:w="60"/>
        <w:gridCol w:w="905"/>
        <w:gridCol w:w="96"/>
      </w:tblGrid>
      <w:tr>
        <w:trPr/>
        <w:tc>
          <w:tcPr>
            <w:tcW w:w="7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7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shares (US$0.00001 par value; 10,000,000,000 and 10,000,000,000 shares authorized, 1,317,840,464 shares issued and 714,663,197 shares outstanding as of December 31, 2024; 1,306,734,444 shares issued and 700,748,911 shares outstanding as of June 30,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shares (US$0.00001 par value; 1,000,000,000 and 1,000,000,000 shares authorized, 326,509,555 and 326,509,555 shares issued and outstanding as of December 31, 2024 and June 30,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(US$0.00001 par value; 603,177,267 and 605,985,533 shares held as of December 31, 2024 and June 30,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(1,223,186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(1,212,328</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3,345,536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3,307,423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36,148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4,684,101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(247,615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(234,053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JOYY Inc.’s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4,711,990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6,581,301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40,378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4,759,758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6,621,679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7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7,527,797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7,518,245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r>
              <w:rPr>
                <w:rFonts w:ascii="Times New Roman;Times;Serif" w:hAnsi="Times New Roman;Times;Serif"/>
              </w:rPr>
              <w:t xml:space="preserve">) </w:t>
            </w:r>
          </w:p>
        </w:tc>
        <w:tc>
          <w:tcPr>
            <w:tcW w:w="9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JOYY has ceased consolidation of YY Live business since February 8, 2021 and classified and presented all the related assets and liabilities related to YY Live business on a net basis within prepayments and other current assets. The consideration received by the Company to date remains within cash and cash equivalents, restricted cash and cash equivalents, and short-term deposits. Correspondingly, the advanced payments received were recorded as accrued liabilities and other current liabilities on our consolidated balance sheet as of December 31, 2024. On February 25, 2025, the Company entered into agreements with Baidu and closed the sale of YY Live to Baidu.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 xml:space="preserve">  </w:t>
      </w:r>
      <w:r>
        <w:rPr>
          <w:rFonts w:ascii="Times New Roman;Times;Serif" w:hAnsi="Times New Roman;Times;Serif"/>
          <w:b/>
          <w:sz w:val="20"/>
        </w:rPr>
        <w:t>JOYY INC.</w:t>
        <w:br/>
        <w:t>UNAUDITED CONDENSED CONSOLIDATED STATEMENTS OF OPERATIONS</w:t>
      </w:r>
      <w:r>
        <w:rPr/>
        <w:t xml:space="preserve">   </w:t>
        <w:br/>
      </w:r>
      <w:r>
        <w:rPr>
          <w:rFonts w:ascii="Times New Roman;Times;Serif" w:hAnsi="Times New Roman;Times;Serif"/>
          <w:sz w:val="20"/>
        </w:rPr>
        <w:t>(All amounts in thousands, except share, ADS and per ADS data)</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145"/>
        <w:gridCol w:w="60"/>
        <w:gridCol w:w="60"/>
        <w:gridCol w:w="755"/>
        <w:gridCol w:w="80"/>
        <w:gridCol w:w="60"/>
        <w:gridCol w:w="60"/>
        <w:gridCol w:w="845"/>
        <w:gridCol w:w="80"/>
        <w:gridCol w:w="60"/>
        <w:gridCol w:w="60"/>
        <w:gridCol w:w="755"/>
        <w:gridCol w:w="80"/>
        <w:gridCol w:w="60"/>
        <w:gridCol w:w="60"/>
        <w:gridCol w:w="845"/>
        <w:gridCol w:w="80"/>
        <w:gridCol w:w="60"/>
        <w:gridCol w:w="60"/>
        <w:gridCol w:w="845"/>
        <w:gridCol w:w="95"/>
      </w:tblGrid>
      <w:tr>
        <w:trPr/>
        <w:tc>
          <w:tcPr>
            <w:tcW w:w="5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890"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95" w:type="dxa"/>
            <w:tcBorders/>
            <w:vAlign w:val="center"/>
          </w:tcPr>
          <w:p>
            <w:pPr>
              <w:pStyle w:val="TableContents"/>
              <w:bidi w:val="0"/>
              <w:spacing w:before="0" w:after="283"/>
              <w:jc w:val="left"/>
              <w:rPr/>
            </w:pPr>
            <w:r>
              <w:rPr/>
              <w:t> </w:t>
            </w:r>
          </w:p>
        </w:tc>
      </w:tr>
      <w:tr>
        <w:trPr/>
        <w:tc>
          <w:tcPr>
            <w:tcW w:w="5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746,757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203,567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494,351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(198,674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(394,094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(347,096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gains (losses),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fair value change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share of income (loss) in equity method investments,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income (loss) in equity method investments,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 on disposal of YY </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1,918,824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1,976,850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shareholders and the mezzanine equity classified non-controlling interest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controlling interest of JOYY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1,982,148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Including</w:t>
            </w:r>
            <w:r>
              <w:rPr>
                <w:rFonts w:eastAsia="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 attributable to controlling interest of JOYY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 on disposal of YY </w:t>
            </w:r>
            <w:r>
              <w:rPr>
                <w:rFonts w:ascii="Times New Roman;Times;Serif" w:hAnsi="Times New Roman;Times;Serif"/>
                <w:b/>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subsidiaries’ redeemable convertible preferred shares to redemption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common shareholders of JOYY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1,920,976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1,981,454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5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  attributable to common shareholders of JOYY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 on disposal of YY </w:t>
            </w:r>
            <w:r>
              <w:rPr>
                <w:rFonts w:ascii="Times New Roman;Times;Serif" w:hAnsi="Times New Roman;Times;Serif"/>
                <w:b/>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rFonts w:ascii="Times New Roman;Times;Serif" w:hAnsi="Times New Roman;Times;Serif"/>
          <w:b/>
          <w:sz w:val="20"/>
        </w:rPr>
        <w:t>JOYY INC.</w:t>
        <w:br/>
        <w:t>UNAUDITED CONDENSED CONSOLIDATED STATEMENTS OF OPERATIONS (CONTINUED)</w:t>
        <w:br/>
      </w:r>
      <w:r>
        <w:rPr>
          <w:rFonts w:ascii="Times New Roman;Times;Serif" w:hAnsi="Times New Roman;Times;Serif"/>
          <w:sz w:val="20"/>
        </w:rPr>
        <w:t>(All amounts in thousands, except share, ADS and per ADS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40"/>
        <w:gridCol w:w="60"/>
        <w:gridCol w:w="60"/>
        <w:gridCol w:w="950"/>
        <w:gridCol w:w="60"/>
        <w:gridCol w:w="60"/>
        <w:gridCol w:w="60"/>
        <w:gridCol w:w="950"/>
        <w:gridCol w:w="60"/>
        <w:gridCol w:w="60"/>
        <w:gridCol w:w="60"/>
        <w:gridCol w:w="950"/>
        <w:gridCol w:w="60"/>
        <w:gridCol w:w="60"/>
        <w:gridCol w:w="60"/>
        <w:gridCol w:w="950"/>
        <w:gridCol w:w="60"/>
        <w:gridCol w:w="60"/>
        <w:gridCol w:w="60"/>
        <w:gridCol w:w="950"/>
        <w:gridCol w:w="75"/>
      </w:tblGrid>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used in calculating 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59,537,049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53,237,127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52,788,040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60,660,104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53,040,855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64,101,951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53,780,111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53,353,026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65,625,455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53,593,910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4240" w:type="dxa"/>
        <w:jc w:val="left"/>
        <w:tblInd w:w="0" w:type="dxa"/>
        <w:tblLayout w:type="fixed"/>
        <w:tblCellMar>
          <w:top w:w="0" w:type="dxa"/>
          <w:left w:w="0" w:type="dxa"/>
          <w:bottom w:w="0" w:type="dxa"/>
          <w:right w:w="0" w:type="dxa"/>
        </w:tblCellMar>
      </w:tblPr>
      <w:tblGrid>
        <w:gridCol w:w="260"/>
        <w:gridCol w:w="3980"/>
      </w:tblGrid>
      <w:tr>
        <w:trPr/>
        <w:tc>
          <w:tcPr>
            <w:tcW w:w="260" w:type="dxa"/>
            <w:tcBorders/>
            <w:vAlign w:val="center"/>
          </w:tcPr>
          <w:p>
            <w:pPr>
              <w:pStyle w:val="TableContents"/>
              <w:bidi w:val="0"/>
              <w:spacing w:before="0" w:after="283"/>
              <w:jc w:val="left"/>
              <w:rPr>
                <w:sz w:val="20"/>
              </w:rPr>
            </w:pPr>
            <w:r>
              <w:rPr>
                <w:sz w:val="20"/>
              </w:rPr>
              <w:t>(1)</w:t>
            </w:r>
          </w:p>
        </w:tc>
        <w:tc>
          <w:tcPr>
            <w:tcW w:w="3980" w:type="dxa"/>
            <w:tcBorders/>
            <w:vAlign w:val="center"/>
          </w:tcPr>
          <w:p>
            <w:pPr>
              <w:pStyle w:val="TableContents"/>
              <w:bidi w:val="0"/>
              <w:spacing w:before="0" w:after="283"/>
              <w:jc w:val="both"/>
              <w:rPr>
                <w:sz w:val="20"/>
              </w:rPr>
            </w:pPr>
            <w:r>
              <w:rPr>
                <w:sz w:val="20"/>
              </w:rPr>
              <w:t>Revenues by geographical areas were as follows:</w:t>
            </w:r>
          </w:p>
        </w:tc>
      </w:tr>
    </w:tbl>
    <w:p>
      <w:pPr>
        <w:pStyle w:val="TextBody"/>
        <w:bidi w:val="0"/>
        <w:jc w:val="center"/>
        <w:rPr/>
      </w:pPr>
      <w:r>
        <w:rPr/>
        <w:t> </w:t>
      </w:r>
    </w:p>
    <w:tbl>
      <w:tblPr>
        <w:tblW w:w="7410" w:type="dxa"/>
        <w:jc w:val="left"/>
        <w:tblInd w:w="0" w:type="dxa"/>
        <w:tblLayout w:type="fixed"/>
        <w:tblCellMar>
          <w:top w:w="0" w:type="dxa"/>
          <w:left w:w="0" w:type="dxa"/>
          <w:bottom w:w="0" w:type="dxa"/>
          <w:right w:w="0" w:type="dxa"/>
        </w:tblCellMar>
      </w:tblPr>
      <w:tblGrid>
        <w:gridCol w:w="2705"/>
        <w:gridCol w:w="60"/>
        <w:gridCol w:w="60"/>
        <w:gridCol w:w="725"/>
        <w:gridCol w:w="60"/>
        <w:gridCol w:w="60"/>
        <w:gridCol w:w="60"/>
        <w:gridCol w:w="890"/>
        <w:gridCol w:w="60"/>
        <w:gridCol w:w="60"/>
        <w:gridCol w:w="60"/>
        <w:gridCol w:w="725"/>
        <w:gridCol w:w="60"/>
        <w:gridCol w:w="60"/>
        <w:gridCol w:w="60"/>
        <w:gridCol w:w="725"/>
        <w:gridCol w:w="60"/>
        <w:gridCol w:w="60"/>
        <w:gridCol w:w="60"/>
        <w:gridCol w:w="725"/>
        <w:gridCol w:w="75"/>
      </w:tblGrid>
      <w:tr>
        <w:trPr/>
        <w:tc>
          <w:tcPr>
            <w:tcW w:w="27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700"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0"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shd w:fill="FFFFFF" w:val="clear"/>
            <w:vAlign w:val="center"/>
          </w:tcPr>
          <w:p>
            <w:pPr>
              <w:pStyle w:val="TableContents"/>
              <w:bidi w:val="0"/>
              <w:spacing w:before="0" w:after="283"/>
              <w:jc w:val="center"/>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countries and regions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568,760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 East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sz w:val="20"/>
        </w:rPr>
      </w:pPr>
      <w:r>
        <w:rPr>
          <w:sz w:val="20"/>
        </w:rPr>
        <w:t>Note: Developed countries and region mainly included the United States of America, Singapore, Japan, South Korea and Great Britain.Middle East mainly included Saudi Arabia and other countries located in the region. Southeast Asia and others mainly included Indonesia, Vietnam and rest of the world.</w:t>
      </w:r>
    </w:p>
    <w:p>
      <w:pPr>
        <w:pStyle w:val="TextBody"/>
        <w:bidi w:val="0"/>
        <w:spacing w:before="0" w:after="283"/>
        <w:jc w:val="left"/>
        <w:rPr/>
      </w:pPr>
      <w:r>
        <w:rPr/>
        <w:t> </w:t>
      </w:r>
    </w:p>
    <w:tbl>
      <w:tblPr>
        <w:tblW w:w="8043" w:type="dxa"/>
        <w:jc w:val="left"/>
        <w:tblInd w:w="0" w:type="dxa"/>
        <w:tblLayout w:type="fixed"/>
        <w:tblCellMar>
          <w:top w:w="0" w:type="dxa"/>
          <w:left w:w="0" w:type="dxa"/>
          <w:bottom w:w="0" w:type="dxa"/>
          <w:right w:w="0" w:type="dxa"/>
        </w:tblCellMar>
      </w:tblPr>
      <w:tblGrid>
        <w:gridCol w:w="38"/>
        <w:gridCol w:w="24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7760" w:type="dxa"/>
            <w:tcBorders/>
            <w:vAlign w:val="center"/>
          </w:tcPr>
          <w:p>
            <w:pPr>
              <w:pStyle w:val="TableContents"/>
              <w:bidi w:val="0"/>
              <w:spacing w:before="0" w:after="283"/>
              <w:jc w:val="both"/>
              <w:rPr>
                <w:sz w:val="20"/>
              </w:rPr>
            </w:pPr>
            <w:r>
              <w:rPr>
                <w:sz w:val="20"/>
              </w:rPr>
              <w:t>Share-based compensation was allocated in cost of revenues and operating expenses as follows:</w:t>
            </w:r>
          </w:p>
        </w:tc>
      </w:tr>
    </w:tbl>
    <w:p>
      <w:pPr>
        <w:pStyle w:val="TextBody"/>
        <w:bidi w:val="0"/>
        <w:spacing w:before="0" w:after="283"/>
        <w:jc w:val="left"/>
        <w:rPr/>
      </w:pPr>
      <w:r>
        <w:rPr/>
        <w:t> </w:t>
      </w:r>
    </w:p>
    <w:tbl>
      <w:tblPr>
        <w:tblW w:w="7710" w:type="dxa"/>
        <w:jc w:val="left"/>
        <w:tblInd w:w="0" w:type="dxa"/>
        <w:tblLayout w:type="fixed"/>
        <w:tblCellMar>
          <w:top w:w="0" w:type="dxa"/>
          <w:left w:w="0" w:type="dxa"/>
          <w:bottom w:w="0" w:type="dxa"/>
          <w:right w:w="0" w:type="dxa"/>
        </w:tblCellMar>
      </w:tblPr>
      <w:tblGrid>
        <w:gridCol w:w="3005"/>
        <w:gridCol w:w="60"/>
        <w:gridCol w:w="60"/>
        <w:gridCol w:w="725"/>
        <w:gridCol w:w="60"/>
        <w:gridCol w:w="60"/>
        <w:gridCol w:w="60"/>
        <w:gridCol w:w="890"/>
        <w:gridCol w:w="60"/>
        <w:gridCol w:w="60"/>
        <w:gridCol w:w="60"/>
        <w:gridCol w:w="725"/>
        <w:gridCol w:w="60"/>
        <w:gridCol w:w="60"/>
        <w:gridCol w:w="60"/>
        <w:gridCol w:w="725"/>
        <w:gridCol w:w="60"/>
        <w:gridCol w:w="60"/>
        <w:gridCol w:w="60"/>
        <w:gridCol w:w="725"/>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0"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sz w:val="20"/>
        </w:rPr>
      </w:pPr>
      <w:r>
        <w:rPr>
          <w:sz w:val="20"/>
        </w:rPr>
        <w:t>(3)   Gain from disposal of YY Live amounted to approximately US$ 1.9 billion was reported as part of the net income from discontinued operations in the first quarter of 2025.</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rFonts w:ascii="Times New Roman;Times;Serif" w:hAnsi="Times New Roman;Times;Serif"/>
          <w:b/>
          <w:sz w:val="20"/>
        </w:rPr>
        <w:t>JOYY INC.</w:t>
      </w:r>
      <w:r>
        <w:rPr/>
        <w:t xml:space="preserve"> </w:t>
      </w:r>
      <w:r>
        <w:rPr>
          <w:rFonts w:ascii="Times New Roman;Times;Serif" w:hAnsi="Times New Roman;Times;Serif"/>
          <w:b/>
          <w:sz w:val="20"/>
        </w:rPr>
        <w:br/>
        <w:t>UNAUDITED RECONCILIATION OF GAAP AND NON-GAAP RESULTS</w:t>
        <w:br/>
      </w:r>
      <w:r>
        <w:rPr>
          <w:rFonts w:ascii="Times New Roman;Times;Serif" w:hAnsi="Times New Roman;Times;Serif"/>
          <w:sz w:val="20"/>
        </w:rPr>
        <w:t>(All amounts in thousands, except share, ADS and per ADS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40"/>
        <w:gridCol w:w="60"/>
        <w:gridCol w:w="60"/>
        <w:gridCol w:w="950"/>
        <w:gridCol w:w="80"/>
        <w:gridCol w:w="60"/>
        <w:gridCol w:w="60"/>
        <w:gridCol w:w="950"/>
        <w:gridCol w:w="80"/>
        <w:gridCol w:w="60"/>
        <w:gridCol w:w="60"/>
        <w:gridCol w:w="950"/>
        <w:gridCol w:w="80"/>
        <w:gridCol w:w="60"/>
        <w:gridCol w:w="60"/>
        <w:gridCol w:w="950"/>
        <w:gridCol w:w="80"/>
        <w:gridCol w:w="60"/>
        <w:gridCol w:w="60"/>
        <w:gridCol w:w="950"/>
        <w:gridCol w:w="95"/>
      </w:tblGrid>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50"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0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69,287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other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88,580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related to the convertible bonds’ amortization to face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136,305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attributable to common shareholders of JOYY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fair value change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related to the convertible bonds’ amortization to face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cumulative dividend and deemed dividend to subsidiaries’ preferred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adjustments for net loss attributable to the non-controlling interest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 attributable to controlling interest and common shareholders of JOYY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140,152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used in calculating Non-GAAP net income from continuing operations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59,537,049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53,237,127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52,788,040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60,660,104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53,040,855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64,101,951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53,780,111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53,353,026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65,625,455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53,593,910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rFonts w:ascii="Times New Roman;Times;Serif" w:hAnsi="Times New Roman;Times;Serif"/>
          <w:b/>
          <w:sz w:val="20"/>
        </w:rPr>
        <w:t xml:space="preserve">JOYY INC. </w:t>
      </w:r>
      <w:r>
        <w:rPr/>
        <w:t> </w:t>
        <w:br/>
      </w:r>
      <w:r>
        <w:rPr>
          <w:rFonts w:ascii="Times New Roman;Times;Serif" w:hAnsi="Times New Roman;Times;Serif"/>
          <w:b/>
          <w:sz w:val="20"/>
        </w:rPr>
        <w:t xml:space="preserve">UNAUDITED SEGMENT REPORT </w:t>
      </w:r>
      <w:r>
        <w:rPr/>
        <w:br/>
        <w:t xml:space="preserve">  </w:t>
      </w:r>
      <w:r>
        <w:rPr>
          <w:rFonts w:ascii="Times New Roman;Times;Serif" w:hAnsi="Times New Roman;Times;Serif"/>
          <w:sz w:val="20"/>
        </w:rPr>
        <w:t>(All amounts in thousands, except share, ADS and per ADS data)</w:t>
      </w:r>
      <w:r>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10"/>
        <w:gridCol w:w="60"/>
        <w:gridCol w:w="60"/>
        <w:gridCol w:w="755"/>
        <w:gridCol w:w="80"/>
        <w:gridCol w:w="60"/>
        <w:gridCol w:w="60"/>
        <w:gridCol w:w="747"/>
        <w:gridCol w:w="80"/>
        <w:gridCol w:w="60"/>
        <w:gridCol w:w="60"/>
        <w:gridCol w:w="1221"/>
        <w:gridCol w:w="80"/>
        <w:gridCol w:w="60"/>
        <w:gridCol w:w="60"/>
        <w:gridCol w:w="755"/>
        <w:gridCol w:w="97"/>
      </w:tblGrid>
      <w:tr>
        <w:trPr/>
        <w:tc>
          <w:tcPr>
            <w:tcW w:w="5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78" w:type="dxa"/>
            <w:gridSpan w:val="1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78"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375,409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507,760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(322,515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(71,852</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(47,922</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(179,849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40,799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65,268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1"/>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share of loss in equity method investments, net of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in equity method investments, net of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elimination mainly consists of revenues and expenses generated from services among BIGO and All other segments, and interest income and interest expenses generated from the loan between BIGO and All other segments.</w:t>
            </w:r>
          </w:p>
        </w:tc>
      </w:tr>
    </w:tbl>
    <w:p>
      <w:pPr>
        <w:pStyle w:val="TextBody"/>
        <w:bidi w:val="0"/>
        <w:spacing w:before="0" w:after="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4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 was allocated in cost of revenues and operating expenses as follows:</w:t>
            </w:r>
          </w:p>
        </w:tc>
      </w:tr>
    </w:tbl>
    <w:p>
      <w:pPr>
        <w:pStyle w:val="TextBody"/>
        <w:bidi w:val="0"/>
        <w:spacing w:before="0" w:after="283"/>
        <w:jc w:val="left"/>
        <w:rPr/>
      </w:pPr>
      <w:r>
        <w:rPr/>
        <w:t> </w:t>
      </w:r>
    </w:p>
    <w:tbl>
      <w:tblPr>
        <w:tblW w:w="5252" w:type="dxa"/>
        <w:jc w:val="left"/>
        <w:tblInd w:w="0" w:type="dxa"/>
        <w:tblLayout w:type="fixed"/>
        <w:tblCellMar>
          <w:top w:w="0" w:type="dxa"/>
          <w:left w:w="0" w:type="dxa"/>
          <w:bottom w:w="0" w:type="dxa"/>
          <w:right w:w="0" w:type="dxa"/>
        </w:tblCellMar>
      </w:tblPr>
      <w:tblGrid>
        <w:gridCol w:w="3005"/>
        <w:gridCol w:w="60"/>
        <w:gridCol w:w="80"/>
        <w:gridCol w:w="450"/>
        <w:gridCol w:w="62"/>
        <w:gridCol w:w="62"/>
        <w:gridCol w:w="84"/>
        <w:gridCol w:w="685"/>
        <w:gridCol w:w="62"/>
        <w:gridCol w:w="62"/>
        <w:gridCol w:w="62"/>
        <w:gridCol w:w="503"/>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2"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 OF UNAUDITED SEGMENT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283"/>
        <w:jc w:val="left"/>
        <w:rPr/>
      </w:pPr>
      <w:r>
        <w:rPr/>
        <w:t> </w:t>
      </w:r>
    </w:p>
    <w:tbl>
      <w:tblPr>
        <w:tblW w:w="7564" w:type="dxa"/>
        <w:jc w:val="left"/>
        <w:tblInd w:w="0" w:type="dxa"/>
        <w:tblLayout w:type="fixed"/>
        <w:tblCellMar>
          <w:top w:w="0" w:type="dxa"/>
          <w:left w:w="0" w:type="dxa"/>
          <w:bottom w:w="0" w:type="dxa"/>
          <w:right w:w="0" w:type="dxa"/>
        </w:tblCellMar>
      </w:tblPr>
      <w:tblGrid>
        <w:gridCol w:w="5000"/>
        <w:gridCol w:w="60"/>
        <w:gridCol w:w="60"/>
        <w:gridCol w:w="590"/>
        <w:gridCol w:w="80"/>
        <w:gridCol w:w="60"/>
        <w:gridCol w:w="65"/>
        <w:gridCol w:w="704"/>
        <w:gridCol w:w="80"/>
        <w:gridCol w:w="60"/>
        <w:gridCol w:w="60"/>
        <w:gridCol w:w="650"/>
        <w:gridCol w:w="9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9"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other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48,194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JOYY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SEGMENT REPORT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9"/>
        <w:gridCol w:w="60"/>
        <w:gridCol w:w="755"/>
        <w:gridCol w:w="80"/>
        <w:gridCol w:w="60"/>
        <w:gridCol w:w="752"/>
        <w:gridCol w:w="80"/>
        <w:gridCol w:w="60"/>
        <w:gridCol w:w="1227"/>
        <w:gridCol w:w="80"/>
        <w:gridCol w:w="60"/>
        <w:gridCol w:w="755"/>
        <w:gridCol w:w="97"/>
      </w:tblGrid>
      <w:tr>
        <w:trPr/>
        <w:tc>
          <w:tcPr>
            <w:tcW w:w="6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09"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0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CCEEFF" w:val="clear"/>
            <w:vAlign w:val="center"/>
          </w:tcPr>
          <w:p>
            <w:pPr>
              <w:pStyle w:val="TableContents"/>
              <w:bidi w:val="0"/>
              <w:spacing w:before="0" w:after="283"/>
              <w:jc w:val="left"/>
              <w:rPr>
                <w:b/>
                <w:sz w:val="20"/>
              </w:rPr>
            </w:pPr>
            <w:r>
              <w:rPr>
                <w:b/>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371,348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123,003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494,351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(315,736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(72,131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(167,247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losses,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 (expenses)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51,432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1"/>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share of loss in equity method investments, net of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in equity method investments, net of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elimination mainly consists of revenues and expenses generated from services among BIGO and All other segments, and interest income and interest expenses generated from the loan between BIGO and All other segments.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8043" w:type="dxa"/>
        <w:jc w:val="left"/>
        <w:tblInd w:w="0" w:type="dxa"/>
        <w:tblLayout w:type="fixed"/>
        <w:tblCellMar>
          <w:top w:w="0" w:type="dxa"/>
          <w:left w:w="0" w:type="dxa"/>
          <w:bottom w:w="0" w:type="dxa"/>
          <w:right w:w="0" w:type="dxa"/>
        </w:tblCellMar>
      </w:tblPr>
      <w:tblGrid>
        <w:gridCol w:w="38"/>
        <w:gridCol w:w="24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 was allocated in cost of revenues and operating expenses as follows:</w:t>
            </w:r>
          </w:p>
        </w:tc>
      </w:tr>
    </w:tbl>
    <w:p>
      <w:pPr>
        <w:pStyle w:val="TextBody"/>
        <w:bidi w:val="0"/>
        <w:spacing w:before="0" w:after="283"/>
        <w:jc w:val="left"/>
        <w:rPr/>
      </w:pPr>
      <w:r>
        <w:rPr/>
        <w:t> </w:t>
      </w:r>
    </w:p>
    <w:tbl>
      <w:tblPr>
        <w:tblW w:w="5252" w:type="dxa"/>
        <w:jc w:val="left"/>
        <w:tblInd w:w="0" w:type="dxa"/>
        <w:tblLayout w:type="fixed"/>
        <w:tblCellMar>
          <w:top w:w="0" w:type="dxa"/>
          <w:left w:w="0" w:type="dxa"/>
          <w:bottom w:w="0" w:type="dxa"/>
          <w:right w:w="0" w:type="dxa"/>
        </w:tblCellMar>
      </w:tblPr>
      <w:tblGrid>
        <w:gridCol w:w="3005"/>
        <w:gridCol w:w="60"/>
        <w:gridCol w:w="80"/>
        <w:gridCol w:w="450"/>
        <w:gridCol w:w="62"/>
        <w:gridCol w:w="62"/>
        <w:gridCol w:w="84"/>
        <w:gridCol w:w="685"/>
        <w:gridCol w:w="62"/>
        <w:gridCol w:w="62"/>
        <w:gridCol w:w="62"/>
        <w:gridCol w:w="503"/>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2"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 OF UNAUDITED SEGMENT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7385" w:type="dxa"/>
        <w:jc w:val="left"/>
        <w:tblInd w:w="0" w:type="dxa"/>
        <w:tblLayout w:type="fixed"/>
        <w:tblCellMar>
          <w:top w:w="0" w:type="dxa"/>
          <w:left w:w="0" w:type="dxa"/>
          <w:bottom w:w="0" w:type="dxa"/>
          <w:right w:w="0" w:type="dxa"/>
        </w:tblCellMar>
      </w:tblPr>
      <w:tblGrid>
        <w:gridCol w:w="5000"/>
        <w:gridCol w:w="60"/>
        <w:gridCol w:w="590"/>
        <w:gridCol w:w="80"/>
        <w:gridCol w:w="60"/>
        <w:gridCol w:w="770"/>
        <w:gridCol w:w="80"/>
        <w:gridCol w:w="60"/>
        <w:gridCol w:w="590"/>
        <w:gridCol w:w="9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0"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(26,515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other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(21,350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JOYY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SEGMENT REPORT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0"/>
        <w:gridCol w:w="60"/>
        <w:gridCol w:w="755"/>
        <w:gridCol w:w="80"/>
        <w:gridCol w:w="60"/>
        <w:gridCol w:w="747"/>
        <w:gridCol w:w="80"/>
        <w:gridCol w:w="60"/>
        <w:gridCol w:w="1221"/>
        <w:gridCol w:w="80"/>
        <w:gridCol w:w="60"/>
        <w:gridCol w:w="755"/>
        <w:gridCol w:w="97"/>
      </w:tblGrid>
      <w:tr>
        <w:trPr/>
        <w:tc>
          <w:tcPr>
            <w:tcW w:w="6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98"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9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2024</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459,730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105,398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565,128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(366,189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(69,856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(88,132</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(40,686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(198,674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fair value change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 (expenses)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1"/>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share of income in equity method investments,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44,985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income in equity method investments,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elimination mainly consists of revenues and expenses generated from services among BIGO and All other segments, and interest income and interest expenses generated from the loan between BIGO and All other segments.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8043" w:type="dxa"/>
        <w:jc w:val="left"/>
        <w:tblInd w:w="0" w:type="dxa"/>
        <w:tblLayout w:type="fixed"/>
        <w:tblCellMar>
          <w:top w:w="0" w:type="dxa"/>
          <w:left w:w="0" w:type="dxa"/>
          <w:bottom w:w="0" w:type="dxa"/>
          <w:right w:w="0" w:type="dxa"/>
        </w:tblCellMar>
      </w:tblPr>
      <w:tblGrid>
        <w:gridCol w:w="38"/>
        <w:gridCol w:w="24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 was allocated in cost of revenues and operating expenses as follows:</w:t>
            </w:r>
          </w:p>
        </w:tc>
      </w:tr>
    </w:tbl>
    <w:p>
      <w:pPr>
        <w:pStyle w:val="TextBody"/>
        <w:bidi w:val="0"/>
        <w:spacing w:before="0" w:after="283"/>
        <w:jc w:val="left"/>
        <w:rPr/>
      </w:pPr>
      <w:r>
        <w:rPr/>
        <w:t> </w:t>
      </w:r>
    </w:p>
    <w:tbl>
      <w:tblPr>
        <w:tblW w:w="5239" w:type="dxa"/>
        <w:jc w:val="left"/>
        <w:tblInd w:w="0" w:type="dxa"/>
        <w:tblLayout w:type="fixed"/>
        <w:tblCellMar>
          <w:top w:w="0" w:type="dxa"/>
          <w:left w:w="0" w:type="dxa"/>
          <w:bottom w:w="0" w:type="dxa"/>
          <w:right w:w="0" w:type="dxa"/>
        </w:tblCellMar>
      </w:tblPr>
      <w:tblGrid>
        <w:gridCol w:w="3005"/>
        <w:gridCol w:w="60"/>
        <w:gridCol w:w="60"/>
        <w:gridCol w:w="485"/>
        <w:gridCol w:w="60"/>
        <w:gridCol w:w="60"/>
        <w:gridCol w:w="84"/>
        <w:gridCol w:w="685"/>
        <w:gridCol w:w="60"/>
        <w:gridCol w:w="60"/>
        <w:gridCol w:w="60"/>
        <w:gridCol w:w="485"/>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9"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 OF UNAUDITED SEGMENT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8645" w:type="dxa"/>
        <w:jc w:val="left"/>
        <w:tblInd w:w="0" w:type="dxa"/>
        <w:tblLayout w:type="fixed"/>
        <w:tblCellMar>
          <w:top w:w="0" w:type="dxa"/>
          <w:left w:w="0" w:type="dxa"/>
          <w:bottom w:w="0" w:type="dxa"/>
          <w:right w:w="0" w:type="dxa"/>
        </w:tblCellMar>
      </w:tblPr>
      <w:tblGrid>
        <w:gridCol w:w="6260"/>
        <w:gridCol w:w="60"/>
        <w:gridCol w:w="590"/>
        <w:gridCol w:w="80"/>
        <w:gridCol w:w="60"/>
        <w:gridCol w:w="770"/>
        <w:gridCol w:w="80"/>
        <w:gridCol w:w="60"/>
        <w:gridCol w:w="590"/>
        <w:gridCol w:w="95"/>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0"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BIGO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other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related to the convertible bonds’ amortization to face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77,806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70,708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7487</Words>
  <Characters>42215</Characters>
  <CharactersWithSpaces>52550</CharactersWithSpaces>
  <Paragraphs>6275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