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JOYY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Shares, par value US$0.00001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46591M109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JOYY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499"/>
        <w:spacing w:after="0"/>
        <w:rPr>
          <w:sz w:val="20"/>
          <w:szCs w:val="20"/>
          <w:color w:val="auto"/>
        </w:rPr>
      </w:pPr>
      <w:r>
        <w:rPr>
          <w:rFonts w:ascii="Times New Roman" w:cs="Times New Roman" w:eastAsia="Times New Roman" w:hAnsi="Times New Roman"/>
          <w:sz w:val="22"/>
          <w:szCs w:val="22"/>
          <w:color w:val="auto"/>
        </w:rPr>
        <w:t>30 Pasir Panjang Road, #15-31A Mapletree Business City, Singapore 117440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The holdings of JOYY Inc.'s (the "Issuer") class A common shares, par value $0.00001 per share ("Class A Common Shares") were held in the form of American Depositary Shares ("ADSs"), which each represented twenty Class A Common Shares. This statement is filed by: (i) Point72 Asset Management, L.P. ("Point72 Asset Management") with</w:t>
      </w:r>
    </w:p>
    <w:p>
      <w:pPr>
        <w:spacing w:after="0" w:line="1" w:lineRule="exact"/>
        <w:rPr>
          <w:sz w:val="20"/>
          <w:szCs w:val="20"/>
          <w:color w:val="auto"/>
        </w:rPr>
      </w:pPr>
    </w:p>
    <w:p>
      <w:pPr>
        <w:ind w:left="920" w:right="4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 to Class A Common Shares that were held, in the form of ADSs, by an investment fund it manages; (ii) Point72 Capital Advisors, Inc. ("Point72 Capital Advisors Inc.") with respect to Class A Common Shares that were held, in the form of ADSs, by an investment fund managed by Point72 Asset Management; and (iii) Steven A. Cohen ("Mr. Cohen") with respect to Class A Common Shares, in the form of ADSs, that were beneficially owned by Point72 Asset Management and Point72 Capital Advisors Inc. The CUSIP Number listed throughout this filing is the CUSIP assigned to the ADSs of the Issuer.</w:t>
      </w:r>
    </w:p>
    <w:p>
      <w:pPr>
        <w:sectPr>
          <w:pgSz w:w="11900" w:h="16887" w:orient="portrait"/>
          <w:cols w:equalWidth="0" w:num="1">
            <w:col w:w="11120"/>
          </w:cols>
          <w:pgMar w:left="360" w:top="112" w:right="41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Point72 Asset Management, Point72 Capital Advisors Inc., and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Shares, par value US$0.00001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46591M109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right="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herein by reference. Such information is as of the close of business on March 31, 2025.</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March 31, 2025.</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87"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March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2025-05-15T14:48:44Z</dcterms:created>
  <dcterms:modified xsi:type="dcterms:W3CDTF">2025-05-15T14:48:44Z</dcterms:modified>
</cp:coreProperties>
</file>