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JOYY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Shares,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46591M109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46591M109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Stonehill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27,601,080.00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27,601,080.00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27,601,080.00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46591M109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Motulsky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27,601,080.00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27,601,080.00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27,601,080.00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46591M109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Jonathan Sacks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27,601,080.00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27,601,080.00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27,601,080.00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46591M109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Sisitsky</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27,601,080.00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27,601,080.00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27,601,080.00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46591M109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MIchael Thoyer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27,601,080.00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27,601,080.00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27,601,080.00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46591M109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Michael Stern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27,601,080.00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27,601,080.00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27,601,080.00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46591M109</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Samir Arora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27,601,080.00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27,601,080.00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27,601,080.00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46591M109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Garrett Zwahlen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27,601,080.00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27,601,080.00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27,601,080.00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JOYY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 Pasir Panjang Road, #15-31A Mapletree Business City, Signapore, 117440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This Schedule 13G is being filed on behalf of the following persons (the "Reporting Persons") with respect to the</w:t>
      </w:r>
    </w:p>
    <w:p>
      <w:pPr>
        <w:spacing w:after="0" w:line="14" w:lineRule="exact"/>
        <w:rPr>
          <w:sz w:val="20"/>
          <w:szCs w:val="20"/>
          <w:color w:val="auto"/>
        </w:rPr>
      </w:pPr>
    </w:p>
    <w:p>
      <w:pPr>
        <w:ind w:left="92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A Common Shares, par value $0.00001 per share (the "Class A Shares") of Joyy Inc. (the "Issuer"): (i) Stonehill Capital Management LLC ("Management") (ii) John Motulsky ("Motulsky") (iii) Jonathan Sacks ("Sacks") (iv) Peter Sisitsky ("Sisitsky") (v) Michael Thoyer ("Thoyer") (vi) Michael Stern ("Stern") (vii) Samir Arora ("Arora") (viii) Garrett Zwahlen ("Zwahlen")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Stonehill Capital Management LLC, 320 Park Avenue, 26th Floor,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24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Management is a Delaware limited liability company. Each of Motulsky, Sacks, Sisitsky, Thoyer, Stern, Arora and Zwahlen is a United States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Shares, par value $0.00001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46591M109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1040"/>
          </w:cols>
          <w:pgMar w:left="360" w:top="102" w:right="49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20"/>
          </w:cols>
          <w:pgMar w:left="360" w:top="111" w:right="4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set forth on rows 5-9 of the cover pages of this Schedule 13G is hereby incorporated by reference</w:t>
      </w:r>
    </w:p>
    <w:p>
      <w:pPr>
        <w:spacing w:after="0" w:line="14" w:lineRule="exact"/>
        <w:rPr>
          <w:sz w:val="20"/>
          <w:szCs w:val="20"/>
          <w:color w:val="auto"/>
        </w:rPr>
      </w:pPr>
    </w:p>
    <w:p>
      <w:pPr>
        <w:ind w:left="920" w:right="220" w:hanging="912"/>
        <w:spacing w:after="0" w:line="196"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into this Item 4(a). Certain funds managed by Management (the "Stonehill Funds") hold 1,380,054 American Depositary Shares of the Issuer representing 27,601,080 Class A Shares. No one Stonehill Fund holds ADSs representing more than 5% of the outstanding Class A Shares. Motulsky, Sacks, Sisitsky, Thoyer, Stern, Arora and Zwahlen are the managing members of Management and are filing this Schedule 13G due to their control over Management and their investment and dispositive control over the ADRs owned by the Stonehill Funds.</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line="193"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information set forth on row 11 of the cover pages of this Schedule 13G is hereby incorporated by reference into this Item 4(b). The percentages set forth on the cover pages are based on an aggregate of 1,027,300,000 Class A Shares outstanding as of June 30, 2025, as reported by the Issuer in Exhibit 99.1 to its Report of Foreign Private Issuer on Form 6-K furnished to the Securities and Exchange Commission on August 27, 2025.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100"/>
        <w:spacing w:after="0" w:line="258" w:lineRule="auto"/>
        <w:rPr>
          <w:sz w:val="20"/>
          <w:szCs w:val="20"/>
          <w:color w:val="auto"/>
        </w:rPr>
      </w:pPr>
      <w:r>
        <w:rPr>
          <w:rFonts w:ascii="Times New Roman" w:cs="Times New Roman" w:eastAsia="Times New Roman" w:hAnsi="Times New Roman"/>
          <w:sz w:val="22"/>
          <w:szCs w:val="22"/>
          <w:color w:val="auto"/>
        </w:rPr>
        <w:t>The information set forth on row 5 of the cover pages of this Schedule 13G is hereby incorporated by reference into this Item 4(c)(i).</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100"/>
        <w:spacing w:after="0" w:line="258" w:lineRule="auto"/>
        <w:rPr>
          <w:sz w:val="20"/>
          <w:szCs w:val="20"/>
          <w:color w:val="auto"/>
        </w:rPr>
      </w:pPr>
      <w:r>
        <w:rPr>
          <w:rFonts w:ascii="Times New Roman" w:cs="Times New Roman" w:eastAsia="Times New Roman" w:hAnsi="Times New Roman"/>
          <w:sz w:val="22"/>
          <w:szCs w:val="22"/>
          <w:color w:val="auto"/>
        </w:rPr>
        <w:t>The information set forth on row 6 of the cover pages of this Schedule 13G is hereby incorporated by reference into this Item 4(c)(ii).</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100"/>
        <w:spacing w:after="0" w:line="258" w:lineRule="auto"/>
        <w:rPr>
          <w:sz w:val="20"/>
          <w:szCs w:val="20"/>
          <w:color w:val="auto"/>
        </w:rPr>
      </w:pPr>
      <w:r>
        <w:rPr>
          <w:rFonts w:ascii="Times New Roman" w:cs="Times New Roman" w:eastAsia="Times New Roman" w:hAnsi="Times New Roman"/>
          <w:sz w:val="22"/>
          <w:szCs w:val="22"/>
          <w:color w:val="auto"/>
        </w:rPr>
        <w:t>The information set forth on row 7 of the cover pages of this Schedule 13G is hereby incorporated by reference into this Item 4(c)(iii).</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00"/>
        <w:spacing w:after="0" w:line="258" w:lineRule="auto"/>
        <w:rPr>
          <w:sz w:val="20"/>
          <w:szCs w:val="20"/>
          <w:color w:val="auto"/>
        </w:rPr>
      </w:pPr>
      <w:r>
        <w:rPr>
          <w:rFonts w:ascii="Times New Roman" w:cs="Times New Roman" w:eastAsia="Times New Roman" w:hAnsi="Times New Roman"/>
          <w:sz w:val="22"/>
          <w:szCs w:val="22"/>
          <w:color w:val="auto"/>
        </w:rPr>
        <w:t>The information set forth on row 8 of the cover pages of this Schedule 13G is hereby incorporated by reference into this Item 4(c)(iv).</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040"/>
          </w:cols>
          <w:pgMar w:left="360" w:top="111" w:right="4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120"/>
          </w:cols>
          <w:pgMar w:left="360" w:top="111" w:right="4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40"/>
          </w:cols>
          <w:pgMar w:left="360" w:top="111" w:right="499" w:bottom="0" w:gutter="0" w:footer="0" w:header="0"/>
          <w:type w:val="continuous"/>
        </w:sectPr>
      </w:pPr>
    </w:p>
    <w:bookmarkStart w:id="8" w:name="page9"/>
    <w:bookmarkEnd w:id="8"/>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Stonehill Capital Management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D. Malek</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Paul Malek, An Authorized Signatory of a</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John Motulsky</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D. Malek</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Paul D. Malek, Attorney-in-Fact for John</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Motulsky</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Jonathan Sacks</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D. Malek</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Paul D. Malek, Attorney-in-Fact for Jonathan</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Sacks</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Peter Sisitsky</w:t>
      </w:r>
    </w:p>
    <w:p>
      <w:pPr>
        <w:spacing w:after="0" w:line="152" w:lineRule="exact"/>
        <w:rPr>
          <w:sz w:val="20"/>
          <w:szCs w:val="20"/>
          <w:color w:val="auto"/>
        </w:rPr>
      </w:pPr>
    </w:p>
    <w:p>
      <w:pPr>
        <w:ind w:left="568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D. Malek</w:t>
      </w:r>
    </w:p>
    <w:p>
      <w:pPr>
        <w:spacing w:after="0" w:line="4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1"/>
          <w:szCs w:val="21"/>
          <w:color w:val="auto"/>
        </w:rPr>
        <w:t>Name/Title: Paul D. Malek, Attorney-in-Fact for Peter Sisitsky</w:t>
      </w:r>
    </w:p>
    <w:p>
      <w:pPr>
        <w:spacing w:after="0" w:line="56" w:lineRule="exact"/>
        <w:rPr>
          <w:sz w:val="20"/>
          <w:szCs w:val="20"/>
          <w:color w:val="auto"/>
        </w:rPr>
      </w:pPr>
    </w:p>
    <w:p>
      <w:pPr>
        <w:ind w:left="568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MIchael Thoyer</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D. Malek</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Paul D. Malek, Attorney-in-Fact for Michael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Thoyer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Michael Stern</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D. Malek</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Paul D. Malek, Attorney-in-Fact for Michael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Stern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Samir Arora</w:t>
      </w:r>
    </w:p>
    <w:p>
      <w:pPr>
        <w:spacing w:after="0" w:line="152" w:lineRule="exact"/>
        <w:rPr>
          <w:sz w:val="20"/>
          <w:szCs w:val="20"/>
          <w:color w:val="auto"/>
        </w:rPr>
      </w:pPr>
    </w:p>
    <w:p>
      <w:pPr>
        <w:ind w:left="5580"/>
        <w:spacing w:after="0"/>
        <w:tabs>
          <w:tab w:leader="none" w:pos="6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D. Malek</w:t>
      </w:r>
    </w:p>
    <w:p>
      <w:pPr>
        <w:spacing w:after="0" w:line="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Name/Title: Paul D. Malek, Attorney-in-Fact for Samir Arora</w:t>
      </w:r>
    </w:p>
    <w:p>
      <w:pPr>
        <w:spacing w:after="0" w:line="44" w:lineRule="exact"/>
        <w:rPr>
          <w:sz w:val="20"/>
          <w:szCs w:val="20"/>
          <w:color w:val="auto"/>
        </w:rPr>
      </w:pPr>
    </w:p>
    <w:p>
      <w:pPr>
        <w:ind w:left="5580"/>
        <w:spacing w:after="0"/>
        <w:tabs>
          <w:tab w:leader="none" w:pos="6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Garrett Zwahlen</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D. Malek</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Paul D. Malek, Attorney-in-Fact for Garrett</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Zwahlen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31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The Reporting Persons disclaim beneficial ownership in the shares reported herein except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of their pecuniary interest therein, and this report shall not otherwise be deemed an admission that any of them is the beneficial owner of such securities for purposes of Section 13(d) or Section 16 of the Securities Exchange Act of 1934, as amended, or for any other purposes.</w:t>
      </w:r>
    </w:p>
    <w:sectPr>
      <w:pgSz w:w="11900" w:h="16838" w:orient="portrait"/>
      <w:cols w:equalWidth="0" w:num="1">
        <w:col w:w="11220"/>
      </w:cols>
      <w:pgMar w:left="320" w:top="111" w:right="359" w:bottom="115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3"/>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2025-11-19T14:10:57Z</dcterms:created>
  <dcterms:modified xsi:type="dcterms:W3CDTF">2025-11-19T14:10:57Z</dcterms:modified>
</cp:coreProperties>
</file>